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59" w:line="204" w:lineRule="auto"/>
        <w:ind w:firstLine="2200" w:firstLineChars="500"/>
        <w:jc w:val="left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1376045</wp:posOffset>
            </wp:positionH>
            <wp:positionV relativeFrom="page">
              <wp:posOffset>906145</wp:posOffset>
            </wp:positionV>
            <wp:extent cx="605155" cy="605155"/>
            <wp:effectExtent l="0" t="0" r="0" b="0"/>
            <wp:wrapNone/>
            <wp:docPr id="2" name="IM 2" descr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 descr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5027" cy="605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庐江皖能天然气有限公司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133" w:line="204" w:lineRule="auto"/>
        <w:ind w:firstLine="4849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编号：</w:t>
      </w:r>
      <w:r>
        <w:rPr>
          <w:rFonts w:hint="eastAsia" w:ascii="黑体" w:hAnsi="黑体" w:eastAsia="黑体" w:cs="黑体"/>
          <w:spacing w:val="-2"/>
          <w:sz w:val="28"/>
          <w:szCs w:val="28"/>
        </w:rPr>
        <w:t>ANG/LJWNZH 57--2022</w:t>
      </w:r>
    </w:p>
    <w:p>
      <w:pPr>
        <w:spacing w:before="120" w:line="30" w:lineRule="exact"/>
        <w:ind w:firstLine="106"/>
        <w:jc w:val="left"/>
        <w:textAlignment w:val="center"/>
      </w:pPr>
      <w:r>
        <w:drawing>
          <wp:inline distT="0" distB="0" distL="0" distR="0">
            <wp:extent cx="5200650" cy="19050"/>
            <wp:effectExtent l="0" t="0" r="0" b="0"/>
            <wp:docPr id="3" name="IM 3" descr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 descr="IM 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220" w:line="204" w:lineRule="auto"/>
        <w:ind w:firstLine="2419"/>
        <w:jc w:val="left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1"/>
          <w:sz w:val="44"/>
          <w:szCs w:val="44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信息公开管理办法</w:t>
      </w:r>
    </w:p>
    <w:p>
      <w:pPr>
        <w:spacing w:before="293" w:line="204" w:lineRule="auto"/>
        <w:ind w:firstLine="3533"/>
        <w:jc w:val="left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42"/>
          <w:w w:val="95"/>
          <w:sz w:val="44"/>
          <w:szCs w:val="44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（试行）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280" w:line="204" w:lineRule="auto"/>
        <w:ind w:firstLine="20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2022-</w:t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>11</w:t>
      </w:r>
      <w:r>
        <w:rPr>
          <w:rFonts w:ascii="黑体" w:hAnsi="黑体" w:eastAsia="黑体" w:cs="黑体"/>
          <w:spacing w:val="-2"/>
          <w:sz w:val="28"/>
          <w:szCs w:val="28"/>
        </w:rPr>
        <w:t>-</w:t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>8</w:t>
      </w:r>
      <w:r>
        <w:rPr>
          <w:rFonts w:ascii="黑体" w:hAnsi="黑体" w:eastAsia="黑体" w:cs="黑体"/>
          <w:spacing w:val="14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发布</w:t>
      </w:r>
      <w:r>
        <w:rPr>
          <w:rFonts w:ascii="黑体" w:hAnsi="黑体" w:eastAsia="黑体" w:cs="黑体"/>
          <w:sz w:val="28"/>
          <w:szCs w:val="28"/>
        </w:rPr>
        <w:t xml:space="preserve">                             </w:t>
      </w:r>
      <w:r>
        <w:rPr>
          <w:rFonts w:ascii="黑体" w:hAnsi="黑体" w:eastAsia="黑体" w:cs="黑体"/>
          <w:spacing w:val="-2"/>
          <w:sz w:val="28"/>
          <w:szCs w:val="28"/>
        </w:rPr>
        <w:t>2022-1</w:t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>1</w:t>
      </w:r>
      <w:r>
        <w:rPr>
          <w:rFonts w:ascii="黑体" w:hAnsi="黑体" w:eastAsia="黑体" w:cs="黑体"/>
          <w:spacing w:val="-2"/>
          <w:sz w:val="28"/>
          <w:szCs w:val="28"/>
        </w:rPr>
        <w:t>-</w:t>
      </w:r>
      <w:r>
        <w:rPr>
          <w:rFonts w:hint="eastAsia" w:ascii="黑体" w:hAnsi="黑体" w:eastAsia="黑体" w:cs="黑体"/>
          <w:spacing w:val="-2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ascii="黑体" w:hAnsi="黑体" w:eastAsia="黑体" w:cs="黑体"/>
          <w:spacing w:val="26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实施</w:t>
      </w:r>
    </w:p>
    <w:p>
      <w:pPr>
        <w:jc w:val="left"/>
        <w:sectPr>
          <w:footerReference r:id="rId3" w:type="default"/>
          <w:pgSz w:w="11906" w:h="16839"/>
          <w:pgMar w:top="1427" w:right="1785" w:bottom="2782" w:left="1785" w:header="0" w:footer="2304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4" w:lineRule="auto"/>
        <w:ind w:firstLine="0" w:firstLineChars="0"/>
        <w:jc w:val="center"/>
        <w:textAlignment w:val="baseline"/>
        <w:rPr>
          <w:rFonts w:hint="eastAsia" w:ascii="宋体" w:hAnsi="宋体" w:eastAsia="宋体" w:cs="宋体"/>
          <w:spacing w:val="-1"/>
          <w:sz w:val="44"/>
          <w:szCs w:val="44"/>
          <w:lang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4" w:lineRule="auto"/>
        <w:ind w:firstLine="0"/>
        <w:jc w:val="center"/>
        <w:textAlignment w:val="baseline"/>
        <w:rPr>
          <w:rFonts w:ascii="宋体" w:hAnsi="宋体" w:eastAsia="宋体" w:cs="宋体"/>
          <w:spacing w:val="-1"/>
          <w:sz w:val="44"/>
          <w:szCs w:val="44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pacing w:val="-1"/>
          <w:sz w:val="44"/>
          <w:szCs w:val="44"/>
          <w:lang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庐江皖能天然气</w:t>
      </w:r>
      <w:r>
        <w:rPr>
          <w:rFonts w:hint="eastAsia" w:ascii="宋体" w:hAnsi="宋体" w:eastAsia="宋体" w:cs="宋体"/>
          <w:spacing w:val="-1"/>
          <w:sz w:val="44"/>
          <w:szCs w:val="44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有限公司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4" w:lineRule="auto"/>
        <w:ind w:firstLine="0"/>
        <w:jc w:val="center"/>
        <w:textAlignment w:val="baseline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pacing w:val="-1"/>
          <w:sz w:val="44"/>
          <w:szCs w:val="44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信息公开管理办法</w:t>
      </w:r>
      <w:r>
        <w:rPr>
          <w:rFonts w:hint="eastAsia" w:ascii="宋体" w:hAnsi="宋体" w:eastAsia="宋体" w:cs="宋体"/>
          <w:spacing w:val="-1"/>
          <w:sz w:val="44"/>
          <w:szCs w:val="44"/>
          <w:lang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（试行）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227" w:line="204" w:lineRule="auto"/>
        <w:ind w:firstLine="3275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6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第一章</w:t>
      </w:r>
      <w:r>
        <w:rPr>
          <w:rFonts w:ascii="宋体" w:hAnsi="宋体" w:eastAsia="宋体" w:cs="宋体"/>
          <w:spacing w:val="2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6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总</w:t>
      </w:r>
      <w:r>
        <w:rPr>
          <w:rFonts w:ascii="宋体" w:hAnsi="宋体" w:eastAsia="宋体" w:cs="宋体"/>
          <w:spacing w:val="19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6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则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0" w:line="400" w:lineRule="exact"/>
        <w:ind w:left="0" w:right="0" w:firstLine="44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第一条</w:t>
      </w:r>
      <w:r>
        <w:rPr>
          <w:rFonts w:ascii="宋体" w:hAnsi="宋体" w:eastAsia="宋体" w:cs="宋体"/>
          <w:spacing w:val="3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为规范</w:t>
      </w: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</w:rPr>
        <w:t>庐江皖能天然气</w:t>
      </w:r>
      <w:r>
        <w:rPr>
          <w:rFonts w:ascii="宋体" w:hAnsi="宋体" w:eastAsia="宋体" w:cs="宋体"/>
          <w:spacing w:val="-10"/>
          <w:sz w:val="24"/>
          <w:szCs w:val="24"/>
        </w:rPr>
        <w:t>有限公司（以下简称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“公司”）信息公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开工作</w:t>
      </w:r>
      <w:r>
        <w:rPr>
          <w:rFonts w:ascii="宋体" w:hAnsi="宋体" w:eastAsia="宋体" w:cs="宋体"/>
          <w:spacing w:val="-6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，提高公司工作透明度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，主动接受社会监督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，根据《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安徽省天然气开发股份有限公司信息公开管理办法（试行）</w:t>
      </w:r>
      <w:r>
        <w:rPr>
          <w:rFonts w:ascii="宋体" w:hAnsi="宋体" w:eastAsia="宋体" w:cs="宋体"/>
          <w:spacing w:val="-8"/>
          <w:sz w:val="24"/>
          <w:szCs w:val="24"/>
        </w:rPr>
        <w:t>》</w:t>
      </w:r>
      <w:r>
        <w:rPr>
          <w:rFonts w:ascii="宋体" w:hAnsi="宋体" w:eastAsia="宋体" w:cs="宋体"/>
          <w:spacing w:val="-4"/>
          <w:sz w:val="24"/>
          <w:szCs w:val="24"/>
        </w:rPr>
        <w:t>，结</w:t>
      </w:r>
      <w:r>
        <w:rPr>
          <w:rFonts w:ascii="宋体" w:hAnsi="宋体" w:eastAsia="宋体" w:cs="宋体"/>
          <w:spacing w:val="-9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合公司实际</w:t>
      </w:r>
      <w:r>
        <w:rPr>
          <w:rFonts w:ascii="宋体" w:hAnsi="宋体" w:eastAsia="宋体" w:cs="宋体"/>
          <w:spacing w:val="-7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，特制定本办法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。</w:t>
      </w:r>
    </w:p>
    <w:p>
      <w:pPr>
        <w:spacing w:before="0" w:line="400" w:lineRule="exact"/>
        <w:ind w:left="0" w:right="0" w:firstLine="472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第二条</w:t>
      </w:r>
      <w:r>
        <w:rPr>
          <w:rFonts w:ascii="宋体" w:hAnsi="宋体" w:eastAsia="宋体" w:cs="宋体"/>
          <w:spacing w:val="3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公司针对不同的信息选择适合的公开方式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，包括公司门户网站</w:t>
      </w:r>
      <w:r>
        <w:rPr>
          <w:rFonts w:ascii="宋体" w:hAnsi="宋体" w:eastAsia="宋体" w:cs="宋体"/>
          <w:spacing w:val="-9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、微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信公众号等</w:t>
      </w:r>
      <w:r>
        <w:rPr>
          <w:rFonts w:ascii="宋体" w:hAnsi="宋体" w:eastAsia="宋体" w:cs="宋体"/>
          <w:spacing w:val="-8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>
      <w:pPr>
        <w:spacing w:before="0" w:line="400" w:lineRule="exact"/>
        <w:ind w:left="0" w:right="0" w:firstLine="476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第三条</w:t>
      </w:r>
      <w:r>
        <w:rPr>
          <w:rFonts w:ascii="宋体" w:hAnsi="宋体" w:eastAsia="宋体" w:cs="宋体"/>
          <w:spacing w:val="2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公司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综合管理部</w:t>
      </w:r>
      <w:r>
        <w:rPr>
          <w:rFonts w:ascii="宋体" w:hAnsi="宋体" w:eastAsia="宋体" w:cs="宋体"/>
          <w:spacing w:val="-1"/>
          <w:sz w:val="24"/>
          <w:szCs w:val="24"/>
        </w:rPr>
        <w:t>作为信息公开的牵头部门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，负责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制订管理制度及日常工作</w:t>
      </w:r>
      <w:r>
        <w:rPr>
          <w:rFonts w:ascii="宋体" w:hAnsi="宋体" w:eastAsia="宋体" w:cs="宋体"/>
          <w:spacing w:val="-11"/>
          <w:sz w:val="24"/>
          <w:szCs w:val="24"/>
        </w:rPr>
        <w:t>。</w:t>
      </w:r>
    </w:p>
    <w:p>
      <w:pPr>
        <w:spacing w:line="400" w:lineRule="exact"/>
        <w:ind w:firstLine="420" w:firstLineChars="200"/>
        <w:jc w:val="both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208" w:line="204" w:lineRule="auto"/>
        <w:ind w:firstLine="2598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第二章</w:t>
      </w:r>
      <w:r>
        <w:rPr>
          <w:rFonts w:ascii="宋体" w:hAnsi="宋体" w:eastAsia="宋体" w:cs="宋体"/>
          <w:spacing w:val="19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信息公开的原则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0" w:line="400" w:lineRule="exact"/>
        <w:ind w:firstLine="468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第四条</w:t>
      </w:r>
      <w:r>
        <w:rPr>
          <w:rFonts w:ascii="宋体" w:hAnsi="宋体" w:eastAsia="宋体" w:cs="宋体"/>
          <w:spacing w:val="3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信息公开坚持依法合规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、真实准确</w:t>
      </w:r>
      <w:r>
        <w:rPr>
          <w:rFonts w:ascii="宋体" w:hAnsi="宋体" w:eastAsia="宋体" w:cs="宋体"/>
          <w:spacing w:val="-9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、及时公开并严格责任的原则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。</w:t>
      </w:r>
    </w:p>
    <w:p>
      <w:pPr>
        <w:spacing w:before="0" w:line="400" w:lineRule="exact"/>
        <w:ind w:left="0" w:right="0" w:firstLine="44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（一）依法合规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。公开的信息必须依法合规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，严格遵循法律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、法规和相关规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定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，依法确定信息公开的内容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、方式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、范围和程序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，严格保护国家秘密和商业秘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密</w:t>
      </w:r>
      <w:r>
        <w:rPr>
          <w:rFonts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。</w:t>
      </w:r>
    </w:p>
    <w:p>
      <w:pPr>
        <w:spacing w:before="0" w:line="400" w:lineRule="exact"/>
        <w:ind w:left="0" w:right="0" w:firstLine="436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（二）真实准确</w:t>
      </w:r>
      <w:r>
        <w:rPr>
          <w:rFonts w:ascii="宋体" w:hAnsi="宋体" w:eastAsia="宋体" w:cs="宋体"/>
          <w:spacing w:val="-6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。公开的信息应当真实</w:t>
      </w:r>
      <w:r>
        <w:rPr>
          <w:rFonts w:ascii="宋体" w:hAnsi="宋体" w:eastAsia="宋体" w:cs="宋体"/>
          <w:spacing w:val="-9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、准确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，不得有虚假记载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、误导性陈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述或者重大遗漏</w:t>
      </w:r>
      <w:r>
        <w:rPr>
          <w:rFonts w:ascii="宋体" w:hAnsi="宋体" w:eastAsia="宋体" w:cs="宋体"/>
          <w:spacing w:val="-8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>
      <w:pPr>
        <w:spacing w:before="0" w:line="400" w:lineRule="exact"/>
        <w:ind w:left="0" w:right="0" w:firstLine="44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（三）及时公开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。应当公开的信息应采取适当方式及时公开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，不得隐瞒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、拖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延或不公开</w:t>
      </w:r>
      <w:r>
        <w:rPr>
          <w:rFonts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>
      <w:pPr>
        <w:spacing w:before="0" w:line="400" w:lineRule="exact"/>
        <w:ind w:left="0" w:right="0" w:firstLine="432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2"/>
          <w:sz w:val="24"/>
          <w:szCs w:val="24"/>
        </w:rPr>
        <w:t>（四）严格责任</w:t>
      </w:r>
      <w:r>
        <w:rPr>
          <w:rFonts w:ascii="宋体" w:hAnsi="宋体" w:eastAsia="宋体" w:cs="宋体"/>
          <w:spacing w:val="-7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</w:rPr>
        <w:t>。公司相关单位按照</w:t>
      </w:r>
      <w:r>
        <w:rPr>
          <w:rFonts w:ascii="宋体" w:hAnsi="宋体" w:eastAsia="宋体" w:cs="宋体"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</w:rPr>
        <w:t>“谁形成谁公开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</w:rPr>
        <w:t>，谁公开谁负责”的原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则</w:t>
      </w:r>
      <w:r>
        <w:rPr>
          <w:rFonts w:ascii="宋体" w:hAnsi="宋体" w:eastAsia="宋体" w:cs="宋体"/>
          <w:spacing w:val="-8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，对提供的公开信息负责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。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207" w:line="204" w:lineRule="auto"/>
        <w:ind w:firstLine="2598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第三章</w:t>
      </w:r>
      <w:r>
        <w:rPr>
          <w:rFonts w:ascii="宋体" w:hAnsi="宋体" w:eastAsia="宋体" w:cs="宋体"/>
          <w:spacing w:val="19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信息公开的内容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0" w:line="400" w:lineRule="exact"/>
        <w:ind w:firstLine="472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第五条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信息公开的内容</w:t>
      </w:r>
    </w:p>
    <w:p>
      <w:pPr>
        <w:spacing w:before="0" w:line="400" w:lineRule="exact"/>
        <w:ind w:left="0" w:right="0" w:firstLine="436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（一）企业信息</w:t>
      </w:r>
      <w:r>
        <w:rPr>
          <w:rFonts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：主要包括企业简介</w:t>
      </w:r>
      <w:r>
        <w:rPr>
          <w:rFonts w:ascii="宋体" w:hAnsi="宋体" w:eastAsia="宋体" w:cs="宋体"/>
          <w:spacing w:val="-9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、组织架构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、高管人员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、工商注册登记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等企业基本信息；</w:t>
      </w:r>
    </w:p>
    <w:p>
      <w:pPr>
        <w:spacing w:before="0" w:line="400" w:lineRule="exact"/>
        <w:ind w:left="0" w:right="0" w:firstLine="448" w:firstLineChars="200"/>
        <w:jc w:val="both"/>
        <w:rPr>
          <w:rFonts w:ascii="宋体" w:hAnsi="宋体" w:eastAsia="宋体" w:cs="宋体"/>
          <w:spacing w:val="-100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（</w:t>
      </w:r>
      <w:r>
        <w:rPr>
          <w:rFonts w:hint="eastAsia" w:ascii="宋体" w:hAnsi="宋体" w:eastAsia="宋体" w:cs="宋体"/>
          <w:spacing w:val="-8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-8"/>
          <w:sz w:val="24"/>
          <w:szCs w:val="24"/>
        </w:rPr>
        <w:t>）其他依照法律法规规定应当主动公开的信息</w:t>
      </w:r>
      <w:r>
        <w:rPr>
          <w:rFonts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。</w:t>
      </w:r>
    </w:p>
    <w:p>
      <w:pPr>
        <w:spacing w:before="0" w:line="400" w:lineRule="exact"/>
        <w:ind w:left="0" w:right="0" w:firstLine="468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第六条</w:t>
      </w:r>
      <w:r>
        <w:rPr>
          <w:rFonts w:ascii="宋体" w:hAnsi="宋体" w:eastAsia="宋体" w:cs="宋体"/>
          <w:spacing w:val="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不予公开的信息</w:t>
      </w:r>
    </w:p>
    <w:p>
      <w:pPr>
        <w:spacing w:before="0" w:line="400" w:lineRule="exact"/>
        <w:ind w:firstLine="452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（一）涉及国家秘密的信息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，涉及商业秘密</w:t>
      </w:r>
      <w:r>
        <w:rPr>
          <w:rFonts w:ascii="宋体" w:hAnsi="宋体" w:eastAsia="宋体" w:cs="宋体"/>
          <w:spacing w:val="-9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、个人隐私的信息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。</w:t>
      </w:r>
    </w:p>
    <w:p>
      <w:pPr>
        <w:spacing w:before="0" w:line="400" w:lineRule="exact"/>
        <w:ind w:firstLine="452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（二）公开后可能会影响检查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、调查取证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、</w:t>
      </w:r>
      <w:r>
        <w:rPr>
          <w:rFonts w:ascii="宋体" w:hAnsi="宋体" w:eastAsia="宋体" w:cs="宋体"/>
          <w:spacing w:val="-9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审议等执法活动的信息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。</w:t>
      </w:r>
    </w:p>
    <w:p>
      <w:pPr>
        <w:spacing w:before="0" w:line="400" w:lineRule="exact"/>
        <w:ind w:left="0" w:right="0" w:firstLine="448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（三）公司认定的可能对他人隐私和名誉构成侵害</w:t>
      </w:r>
      <w:r>
        <w:rPr>
          <w:rFonts w:ascii="宋体" w:hAnsi="宋体" w:eastAsia="宋体" w:cs="宋体"/>
          <w:spacing w:val="-8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、对相关人员合法权益造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成损害</w:t>
      </w:r>
      <w:r>
        <w:rPr>
          <w:rFonts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、对企业及社会的正常秩序带来影响的信息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>
      <w:pPr>
        <w:spacing w:before="0" w:line="400" w:lineRule="exact"/>
        <w:ind w:firstLine="448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（四）其他法律</w:t>
      </w:r>
      <w:r>
        <w:rPr>
          <w:rFonts w:ascii="宋体" w:hAnsi="宋体" w:eastAsia="宋体" w:cs="宋体"/>
          <w:spacing w:val="-8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、行政法规规定不予公开的信息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。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189" w:line="204" w:lineRule="auto"/>
        <w:ind w:firstLine="3049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第四章</w:t>
      </w:r>
      <w:r>
        <w:rPr>
          <w:rFonts w:ascii="宋体" w:hAnsi="宋体" w:eastAsia="宋体" w:cs="宋体"/>
          <w:spacing w:val="29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5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审批流程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0" w:line="400" w:lineRule="exact"/>
        <w:ind w:left="0" w:right="0" w:firstLine="472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第七条</w:t>
      </w:r>
      <w:r>
        <w:rPr>
          <w:rFonts w:ascii="宋体" w:hAnsi="宋体" w:eastAsia="宋体" w:cs="宋体"/>
          <w:spacing w:val="3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需采用公司门户网站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、微信公众号形式公开的信息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，参照《安徽省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天然气开发股份有限公司网站信息发布管理办法》执行</w:t>
      </w:r>
      <w:r>
        <w:rPr>
          <w:rFonts w:ascii="宋体" w:hAnsi="宋体" w:eastAsia="宋体" w:cs="宋体"/>
          <w:spacing w:val="-7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>
      <w:pPr>
        <w:spacing w:before="0" w:line="400" w:lineRule="exact"/>
        <w:ind w:left="0" w:right="0" w:firstLine="472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第八条</w:t>
      </w:r>
      <w:r>
        <w:rPr>
          <w:rFonts w:ascii="宋体" w:hAnsi="宋体" w:eastAsia="宋体" w:cs="宋体"/>
          <w:spacing w:val="3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需采用其他形式公开的信息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，经相关部门负责人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、分管领导审核同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意</w:t>
      </w:r>
      <w:r>
        <w:rPr>
          <w:rFonts w:ascii="宋体" w:hAnsi="宋体" w:eastAsia="宋体" w:cs="宋体"/>
          <w:spacing w:val="-8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，提交公司主要领导审批后方可公开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。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210" w:line="204" w:lineRule="auto"/>
        <w:ind w:firstLine="3049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第五章</w:t>
      </w:r>
      <w:r>
        <w:rPr>
          <w:rFonts w:ascii="宋体" w:hAnsi="宋体" w:eastAsia="宋体" w:cs="宋体"/>
          <w:spacing w:val="15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保密审查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0" w:line="400" w:lineRule="exact"/>
        <w:ind w:left="0" w:firstLine="476" w:firstLineChars="200"/>
        <w:jc w:val="both"/>
        <w:rPr>
          <w:rFonts w:ascii="宋体" w:hAnsi="宋体" w:eastAsia="宋体" w:cs="宋体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pacing w:val="-1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第九条</w:t>
      </w:r>
      <w:r>
        <w:rPr>
          <w:rFonts w:ascii="宋体" w:hAnsi="宋体" w:eastAsia="宋体" w:cs="宋体"/>
          <w:spacing w:val="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公司在公开信息前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，应当依照《中华人民共和国保守国家秘密法》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以及其他法律</w:t>
      </w:r>
      <w:r>
        <w:rPr>
          <w:rFonts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、法规的规定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，对拟公开信息进行保密审查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，对信息不能确定是否</w:t>
      </w:r>
      <w:r>
        <w:rPr>
          <w:rFonts w:ascii="宋体" w:hAnsi="宋体" w:eastAsia="宋体" w:cs="宋体"/>
          <w:spacing w:val="-9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涉密时</w:t>
      </w:r>
      <w:r>
        <w:rPr>
          <w:rFonts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，应当报公司保密委员会办公室确定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。</w:t>
      </w:r>
    </w:p>
    <w:p>
      <w:pPr>
        <w:spacing w:before="0" w:line="400" w:lineRule="exact"/>
        <w:ind w:left="0" w:firstLine="472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第十条</w:t>
      </w:r>
      <w:r>
        <w:rPr>
          <w:rFonts w:ascii="宋体" w:hAnsi="宋体" w:eastAsia="宋体" w:cs="宋体"/>
          <w:spacing w:val="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公司保密委员会办公室负责指导各部门对拟公开信息进行保密审查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，</w:t>
      </w:r>
      <w:r>
        <w:rPr>
          <w:rFonts w:ascii="宋体" w:hAnsi="宋体" w:eastAsia="宋体" w:cs="宋体"/>
          <w:spacing w:val="-10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督促检查信息公开工作中的保密责任落实情况</w:t>
      </w:r>
      <w:r>
        <w:rPr>
          <w:rFonts w:ascii="宋体" w:hAnsi="宋体" w:eastAsia="宋体" w:cs="宋体"/>
          <w:spacing w:val="-8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210" w:line="204" w:lineRule="auto"/>
        <w:ind w:firstLine="3275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9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第六章</w:t>
      </w:r>
      <w:r>
        <w:rPr>
          <w:rFonts w:ascii="宋体" w:hAnsi="宋体" w:eastAsia="宋体" w:cs="宋体"/>
          <w:spacing w:val="36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9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附</w:t>
      </w:r>
      <w:r>
        <w:rPr>
          <w:rFonts w:ascii="宋体" w:hAnsi="宋体" w:eastAsia="宋体" w:cs="宋体"/>
          <w:spacing w:val="19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9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则</w:t>
      </w: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0" w:line="400" w:lineRule="exact"/>
        <w:ind w:left="0" w:right="0" w:firstLine="468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第十一条</w:t>
      </w:r>
      <w:r>
        <w:rPr>
          <w:rFonts w:ascii="宋体" w:hAnsi="宋体" w:eastAsia="宋体" w:cs="宋体"/>
          <w:spacing w:val="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本办法由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综合管理部</w:t>
      </w:r>
      <w:r>
        <w:rPr>
          <w:rFonts w:ascii="宋体" w:hAnsi="宋体" w:eastAsia="宋体" w:cs="宋体"/>
          <w:spacing w:val="-3"/>
          <w:sz w:val="24"/>
          <w:szCs w:val="24"/>
        </w:rPr>
        <w:t>负责解释</w:t>
      </w:r>
      <w:r>
        <w:rPr>
          <w:rFonts w:ascii="宋体" w:hAnsi="宋体" w:eastAsia="宋体" w:cs="宋体"/>
          <w:spacing w:val="-5"/>
          <w:sz w:val="24"/>
          <w:szCs w:val="24"/>
        </w:rPr>
        <w:t>。</w:t>
      </w:r>
    </w:p>
    <w:p>
      <w:pPr>
        <w:spacing w:before="0" w:line="400" w:lineRule="exact"/>
        <w:ind w:firstLine="472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第十二条</w:t>
      </w:r>
      <w:r>
        <w:rPr>
          <w:rFonts w:ascii="宋体" w:hAnsi="宋体" w:eastAsia="宋体" w:cs="宋体"/>
          <w:spacing w:val="2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本办法自印发之日起施行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>
      <w:pPr>
        <w:jc w:val="left"/>
        <w:sectPr>
          <w:headerReference r:id="rId4" w:type="default"/>
          <w:footerReference r:id="rId5" w:type="default"/>
          <w:pgSz w:w="11906" w:h="16839"/>
          <w:pgMar w:top="1293" w:right="1586" w:bottom="1419" w:left="1785" w:header="851" w:footer="1273" w:gutter="0"/>
          <w:cols w:space="720" w:num="1"/>
        </w:sect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before="232" w:line="204" w:lineRule="auto"/>
        <w:ind w:firstLine="32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附件一</w:t>
      </w:r>
      <w:r>
        <w:rPr>
          <w:rFonts w:ascii="宋体" w:hAnsi="宋体" w:eastAsia="宋体" w:cs="宋体"/>
          <w:spacing w:val="-10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before="115" w:line="219" w:lineRule="auto"/>
        <w:ind w:firstLine="1314" w:firstLineChars="300"/>
        <w:jc w:val="left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pacing w:val="-1"/>
          <w:sz w:val="44"/>
          <w:szCs w:val="44"/>
          <w:lang w:eastAsia="zh-CN"/>
        </w:rPr>
        <w:t>庐江皖能天然气有限公司</w:t>
      </w:r>
      <w:r>
        <w:rPr>
          <w:rFonts w:ascii="黑体" w:hAnsi="黑体" w:eastAsia="黑体" w:cs="黑体"/>
          <w:spacing w:val="-1"/>
          <w:sz w:val="44"/>
          <w:szCs w:val="44"/>
        </w:rPr>
        <w:t>信息公开目录更新维护责任分工表</w:t>
      </w: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224" w:lineRule="exact"/>
        <w:jc w:val="left"/>
      </w:pPr>
    </w:p>
    <w:tbl>
      <w:tblPr>
        <w:tblStyle w:val="5"/>
        <w:tblW w:w="12669" w:type="dxa"/>
        <w:tblInd w:w="64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1"/>
        <w:gridCol w:w="4051"/>
        <w:gridCol w:w="2516"/>
        <w:gridCol w:w="38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818" w:type="dxa"/>
            <w:gridSpan w:val="3"/>
            <w:vAlign w:val="top"/>
          </w:tcPr>
          <w:p>
            <w:pPr>
              <w:spacing w:before="110" w:line="204" w:lineRule="auto"/>
              <w:ind w:firstLine="393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栏目名称</w:t>
            </w:r>
          </w:p>
        </w:tc>
        <w:tc>
          <w:tcPr>
            <w:tcW w:w="3851" w:type="dxa"/>
            <w:vMerge w:val="restart"/>
            <w:tcBorders>
              <w:bottom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01" w:line="204" w:lineRule="auto"/>
              <w:ind w:firstLine="145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责任单位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51" w:type="dxa"/>
            <w:vAlign w:val="top"/>
          </w:tcPr>
          <w:p>
            <w:pPr>
              <w:spacing w:before="111" w:line="204" w:lineRule="auto"/>
              <w:ind w:firstLine="65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一级栏目</w:t>
            </w:r>
          </w:p>
        </w:tc>
        <w:tc>
          <w:tcPr>
            <w:tcW w:w="4051" w:type="dxa"/>
            <w:vAlign w:val="top"/>
          </w:tcPr>
          <w:p>
            <w:pPr>
              <w:spacing w:before="111" w:line="204" w:lineRule="auto"/>
              <w:ind w:firstLine="155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二级栏目</w:t>
            </w:r>
          </w:p>
        </w:tc>
        <w:tc>
          <w:tcPr>
            <w:tcW w:w="2516" w:type="dxa"/>
            <w:vAlign w:val="top"/>
          </w:tcPr>
          <w:p>
            <w:pPr>
              <w:spacing w:before="111" w:line="204" w:lineRule="auto"/>
              <w:ind w:firstLine="78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三级栏目</w:t>
            </w:r>
          </w:p>
        </w:tc>
        <w:tc>
          <w:tcPr>
            <w:tcW w:w="3851" w:type="dxa"/>
            <w:vMerge w:val="continue"/>
            <w:tcBorders>
              <w:top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51" w:type="dxa"/>
            <w:vMerge w:val="restart"/>
            <w:tcBorders>
              <w:bottom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82" w:line="204" w:lineRule="auto"/>
              <w:ind w:firstLine="65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企业信息</w:t>
            </w:r>
          </w:p>
        </w:tc>
        <w:tc>
          <w:tcPr>
            <w:tcW w:w="4051" w:type="dxa"/>
            <w:vAlign w:val="top"/>
          </w:tcPr>
          <w:p>
            <w:pPr>
              <w:spacing w:before="110" w:line="204" w:lineRule="auto"/>
              <w:ind w:firstLine="155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企业简介</w:t>
            </w:r>
          </w:p>
        </w:tc>
        <w:tc>
          <w:tcPr>
            <w:tcW w:w="2516" w:type="dxa"/>
            <w:vAlign w:val="top"/>
          </w:tcPr>
          <w:p>
            <w:pPr>
              <w:spacing w:before="110" w:line="204" w:lineRule="auto"/>
              <w:ind w:firstLine="120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/</w:t>
            </w:r>
          </w:p>
        </w:tc>
        <w:tc>
          <w:tcPr>
            <w:tcW w:w="3851" w:type="dxa"/>
            <w:vMerge w:val="restart"/>
            <w:vAlign w:val="top"/>
          </w:tcPr>
          <w:p>
            <w:pPr>
              <w:spacing w:before="110" w:line="204" w:lineRule="auto"/>
              <w:ind w:firstLine="1211"/>
              <w:jc w:val="left"/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</w:p>
          <w:p>
            <w:pPr>
              <w:spacing w:before="110" w:line="204" w:lineRule="auto"/>
              <w:ind w:firstLine="1211"/>
              <w:jc w:val="left"/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</w:p>
          <w:p>
            <w:pPr>
              <w:spacing w:before="110" w:line="204" w:lineRule="auto"/>
              <w:ind w:firstLine="1211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综合管理部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4051" w:type="dxa"/>
            <w:vMerge w:val="restart"/>
            <w:tcBorders>
              <w:bottom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01" w:line="204" w:lineRule="auto"/>
              <w:ind w:firstLine="15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机构领导</w:t>
            </w:r>
          </w:p>
        </w:tc>
        <w:tc>
          <w:tcPr>
            <w:tcW w:w="2516" w:type="dxa"/>
            <w:vAlign w:val="top"/>
          </w:tcPr>
          <w:p>
            <w:pPr>
              <w:spacing w:before="109" w:line="204" w:lineRule="auto"/>
              <w:ind w:firstLine="78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机构领导</w:t>
            </w:r>
          </w:p>
        </w:tc>
        <w:tc>
          <w:tcPr>
            <w:tcW w:w="3851" w:type="dxa"/>
            <w:vMerge w:val="continue"/>
            <w:vAlign w:val="top"/>
          </w:tcPr>
          <w:p>
            <w:pPr>
              <w:spacing w:before="101" w:line="204" w:lineRule="auto"/>
              <w:ind w:firstLine="49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4051" w:type="dxa"/>
            <w:vMerge w:val="continue"/>
            <w:tcBorders>
              <w:top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2516" w:type="dxa"/>
            <w:vAlign w:val="top"/>
          </w:tcPr>
          <w:p>
            <w:pPr>
              <w:spacing w:before="111" w:line="204" w:lineRule="auto"/>
              <w:ind w:firstLine="78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组织机构</w:t>
            </w:r>
          </w:p>
        </w:tc>
        <w:tc>
          <w:tcPr>
            <w:tcW w:w="3851" w:type="dxa"/>
            <w:vMerge w:val="continue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251" w:type="dxa"/>
            <w:vMerge w:val="continue"/>
            <w:tcBorders>
              <w:top w:val="nil"/>
            </w:tcBorders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4051" w:type="dxa"/>
            <w:vAlign w:val="top"/>
          </w:tcPr>
          <w:p>
            <w:pPr>
              <w:spacing w:before="110" w:line="204" w:lineRule="auto"/>
              <w:ind w:firstLine="107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工商注册基本信息</w:t>
            </w:r>
          </w:p>
        </w:tc>
        <w:tc>
          <w:tcPr>
            <w:tcW w:w="2516" w:type="dxa"/>
            <w:vAlign w:val="top"/>
          </w:tcPr>
          <w:p>
            <w:pPr>
              <w:spacing w:before="110" w:line="204" w:lineRule="auto"/>
              <w:ind w:firstLine="120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/</w:t>
            </w:r>
          </w:p>
        </w:tc>
        <w:tc>
          <w:tcPr>
            <w:tcW w:w="3851" w:type="dxa"/>
            <w:vMerge w:val="continue"/>
            <w:vAlign w:val="top"/>
          </w:tcPr>
          <w:p>
            <w:pPr>
              <w:spacing w:before="110" w:line="204" w:lineRule="auto"/>
              <w:ind w:firstLine="121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90" w:lineRule="auto"/>
        <w:jc w:val="left"/>
        <w:rPr>
          <w:rFonts w:ascii="Arial" w:hAnsi="Arial" w:eastAsia="Arial" w:cs="Arial"/>
          <w:sz w:val="2"/>
          <w:szCs w:val="2"/>
        </w:rPr>
      </w:pPr>
    </w:p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sectPr>
      <w:headerReference r:id="rId6" w:type="default"/>
      <w:footerReference r:id="rId7" w:type="default"/>
      <w:pgSz w:w="16839" w:h="11906"/>
      <w:pgMar w:top="1305" w:right="1440" w:bottom="1150" w:left="1440" w:header="851" w:footer="103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162" w:line="30" w:lineRule="exact"/>
      <w:ind w:firstLine="31"/>
      <w:jc w:val="left"/>
      <w:textAlignment w:val="center"/>
    </w:pPr>
    <w:r>
      <w:drawing>
        <wp:inline distT="0" distB="0" distL="0" distR="0">
          <wp:extent cx="5248275" cy="19050"/>
          <wp:effectExtent l="0" t="0" r="0" b="0"/>
          <wp:docPr id="1" name="IM 1" descr="I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 1" descr="IM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48275" cy="19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spacing w:line="188" w:lineRule="auto"/>
      <w:ind w:firstLine="2088"/>
      <w:jc w:val="left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pacing w:val="-2"/>
        <w:sz w:val="28"/>
        <w:szCs w:val="28"/>
        <w:lang w:eastAsia="zh-CN"/>
      </w:rPr>
      <w:t>庐江皖能天然气有限公司</w:t>
    </w:r>
    <w:r>
      <w:rPr>
        <w:rFonts w:ascii="黑体" w:hAnsi="黑体" w:eastAsia="黑体" w:cs="黑体"/>
        <w:spacing w:val="5"/>
        <w:sz w:val="28"/>
        <w:szCs w:val="28"/>
      </w:rPr>
      <w:t xml:space="preserve">  </w:t>
    </w:r>
    <w:r>
      <w:rPr>
        <w:rFonts w:ascii="黑体" w:hAnsi="黑体" w:eastAsia="黑体" w:cs="黑体"/>
        <w:spacing w:val="-2"/>
        <w:sz w:val="28"/>
        <w:szCs w:val="28"/>
      </w:rPr>
      <w:t>发布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6" w:lineRule="exact"/>
      <w:ind w:firstLine="4125"/>
      <w:jc w:val="left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position w:val="-3"/>
        <w:sz w:val="21"/>
        <w:szCs w:val="21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16" w:lineRule="exact"/>
      <w:ind w:firstLine="6942"/>
      <w:jc w:val="left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position w:val="-2"/>
        <w:sz w:val="18"/>
        <w:szCs w:val="18"/>
      </w:rPr>
      <w:t>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66" w:line="204" w:lineRule="auto"/>
      <w:ind w:firstLine="391"/>
      <w:jc w:val="left"/>
      <w:rPr>
        <w:rFonts w:ascii="宋体" w:hAnsi="宋体" w:eastAsia="宋体" w:cs="宋体"/>
        <w:sz w:val="21"/>
        <w:szCs w:val="21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1141095</wp:posOffset>
          </wp:positionH>
          <wp:positionV relativeFrom="page">
            <wp:posOffset>812165</wp:posOffset>
          </wp:positionV>
          <wp:extent cx="5278120" cy="8890"/>
          <wp:effectExtent l="0" t="0" r="0" b="0"/>
          <wp:wrapNone/>
          <wp:docPr id="8" name="IM 8" descr="IM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 8" descr="IM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8120" cy="91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60288" behindDoc="0" locked="0" layoutInCell="0" allowOverlap="1">
          <wp:simplePos x="0" y="0"/>
          <wp:positionH relativeFrom="page">
            <wp:posOffset>1141095</wp:posOffset>
          </wp:positionH>
          <wp:positionV relativeFrom="page">
            <wp:posOffset>540385</wp:posOffset>
          </wp:positionV>
          <wp:extent cx="231775" cy="220980"/>
          <wp:effectExtent l="0" t="0" r="0" b="0"/>
          <wp:wrapNone/>
          <wp:docPr id="9" name="IM 9" descr="IM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 9" descr="IM 9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1648" cy="220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t>庐江皖能天然气有限公司</w:t>
    </w:r>
    <w:r>
      <w:rPr>
        <w:rFonts w:ascii="宋体" w:hAnsi="宋体" w:eastAsia="宋体" w:cs="宋体"/>
        <w:sz w:val="21"/>
        <w:szCs w:val="21"/>
      </w:rPr>
      <w:t xml:space="preserve">                                      </w:t>
    </w:r>
    <w:r>
      <w:rPr>
        <w:rFonts w:ascii="宋体" w:hAnsi="宋体" w:eastAsia="宋体" w:cs="宋体"/>
        <w:spacing w:val="-3"/>
        <w:sz w:val="21"/>
        <w:szCs w:val="21"/>
      </w:rPr>
      <w:t>信息公开管理办法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78" w:line="204" w:lineRule="auto"/>
      <w:ind w:firstLine="405"/>
      <w:jc w:val="left"/>
      <w:rPr>
        <w:rFonts w:ascii="宋体" w:hAnsi="宋体" w:eastAsia="宋体" w:cs="宋体"/>
        <w:sz w:val="21"/>
        <w:szCs w:val="21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914400</wp:posOffset>
          </wp:positionH>
          <wp:positionV relativeFrom="page">
            <wp:posOffset>819150</wp:posOffset>
          </wp:positionV>
          <wp:extent cx="8863330" cy="8890"/>
          <wp:effectExtent l="0" t="0" r="0" b="0"/>
          <wp:wrapNone/>
          <wp:docPr id="14" name="IM 14" descr="IM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 14" descr="IM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63330" cy="91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60288" behindDoc="0" locked="0" layoutInCell="0" allowOverlap="1">
          <wp:simplePos x="0" y="0"/>
          <wp:positionH relativeFrom="page">
            <wp:posOffset>914400</wp:posOffset>
          </wp:positionH>
          <wp:positionV relativeFrom="page">
            <wp:posOffset>540385</wp:posOffset>
          </wp:positionV>
          <wp:extent cx="231775" cy="220980"/>
          <wp:effectExtent l="0" t="0" r="0" b="0"/>
          <wp:wrapNone/>
          <wp:docPr id="15" name="IM 15" descr="IM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 15" descr="IM 1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1648" cy="220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t>庐江皖能天然气有限公司</w:t>
    </w:r>
    <w:r>
      <w:rPr>
        <w:rFonts w:ascii="宋体" w:hAnsi="宋体" w:eastAsia="宋体" w:cs="宋体"/>
        <w:sz w:val="21"/>
        <w:szCs w:val="21"/>
      </w:rPr>
      <w:t xml:space="preserve">                                                                                          </w:t>
    </w:r>
    <w:r>
      <w:rPr>
        <w:rFonts w:ascii="宋体" w:hAnsi="宋体" w:eastAsia="宋体" w:cs="宋体"/>
        <w:spacing w:val="-3"/>
        <w:sz w:val="21"/>
        <w:szCs w:val="21"/>
      </w:rPr>
      <w:t>信息公开管理办法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trackRevisions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52E18B5"/>
    <w:rsid w:val="07E41A51"/>
    <w:rsid w:val="08E320ED"/>
    <w:rsid w:val="0FE271E0"/>
    <w:rsid w:val="1AAE7627"/>
    <w:rsid w:val="1D4E065B"/>
    <w:rsid w:val="1DEC08DD"/>
    <w:rsid w:val="25AF2818"/>
    <w:rsid w:val="29A21BD4"/>
    <w:rsid w:val="2B9D0EF8"/>
    <w:rsid w:val="3E336C8D"/>
    <w:rsid w:val="41BE4E12"/>
    <w:rsid w:val="44CA7745"/>
    <w:rsid w:val="4778537C"/>
    <w:rsid w:val="4EA2056C"/>
    <w:rsid w:val="56D67244"/>
    <w:rsid w:val="5C1F2FDD"/>
    <w:rsid w:val="623C0C35"/>
    <w:rsid w:val="68AD6476"/>
    <w:rsid w:val="751B765C"/>
    <w:rsid w:val="78162424"/>
    <w:rsid w:val="78E43D39"/>
    <w:rsid w:val="7C6174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21</TotalTime>
  <ScaleCrop>false</ScaleCrop>
  <LinksUpToDate>false</LinksUpToDate>
  <Application>WPS Office_11.8.2.10229_F1E327BC-269C-435d-A152-05C5408002CA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2022-10-27T17:33:00Z</dcterms:created>
  <dc:creator>刘昊</dc:creator>
  <cp:lastModifiedBy>huu~</cp:lastModifiedBy>
  <dcterms:modified xsi:type="dcterms:W3CDTF">2022-11-08T00:29:26Z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