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8"/>
        <w:ind w:right="0" w:firstLine="1890" w:firstLineChars="900"/>
        <w:jc w:val="left"/>
        <w:rPr>
          <w:rFonts w:hint="eastAsia" w:ascii="黑体" w:eastAsia="宋体"/>
          <w:sz w:val="44"/>
          <w:lang w:eastAsia="zh-CN"/>
        </w:rPr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1721485</wp:posOffset>
            </wp:positionH>
            <wp:positionV relativeFrom="paragraph">
              <wp:posOffset>-84455</wp:posOffset>
            </wp:positionV>
            <wp:extent cx="537845" cy="545465"/>
            <wp:effectExtent l="0" t="0" r="14605" b="6985"/>
            <wp:wrapNone/>
            <wp:docPr id="2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7845" cy="545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eastAsia="黑体"/>
          <w:sz w:val="44"/>
          <w:lang w:eastAsia="zh-CN"/>
        </w:rPr>
        <w:t>安徽省天然气销售有限公司</w:t>
      </w:r>
    </w:p>
    <w:p>
      <w:pPr>
        <w:pStyle w:val="6"/>
        <w:spacing w:before="8"/>
        <w:rPr>
          <w:rFonts w:ascii="黑体"/>
          <w:sz w:val="48"/>
        </w:rPr>
      </w:pPr>
    </w:p>
    <w:p>
      <w:pPr>
        <w:spacing w:before="0" w:after="19"/>
        <w:ind w:right="0" w:firstLine="4480" w:firstLineChars="1600"/>
        <w:jc w:val="left"/>
        <w:rPr>
          <w:rFonts w:hint="eastAsia" w:ascii="黑体" w:eastAsia="黑体"/>
          <w:sz w:val="28"/>
        </w:rPr>
      </w:pPr>
      <w:r>
        <w:rPr>
          <w:rFonts w:hint="eastAsia" w:ascii="黑体" w:eastAsia="黑体"/>
          <w:sz w:val="28"/>
        </w:rPr>
        <w:t xml:space="preserve">编号: </w:t>
      </w:r>
      <w:r>
        <w:rPr>
          <w:rFonts w:hint="eastAsia" w:ascii="黑体" w:eastAsia="黑体"/>
          <w:sz w:val="28"/>
          <w:lang w:val="en-US" w:eastAsia="zh-CN"/>
        </w:rPr>
        <w:t>ANG</w:t>
      </w:r>
      <w:r>
        <w:rPr>
          <w:rFonts w:hint="eastAsia" w:ascii="黑体" w:eastAsia="黑体"/>
          <w:sz w:val="28"/>
        </w:rPr>
        <w:t>/</w:t>
      </w:r>
      <w:r>
        <w:rPr>
          <w:rFonts w:hint="eastAsia" w:ascii="黑体" w:eastAsia="黑体"/>
          <w:sz w:val="28"/>
          <w:lang w:val="en-US" w:eastAsia="zh-CN"/>
        </w:rPr>
        <w:t>XS</w:t>
      </w:r>
      <w:r>
        <w:rPr>
          <w:rFonts w:hint="eastAsia" w:ascii="黑体" w:eastAsia="黑体"/>
          <w:sz w:val="28"/>
        </w:rPr>
        <w:t xml:space="preserve"> </w:t>
      </w:r>
      <w:r>
        <w:rPr>
          <w:rFonts w:hint="eastAsia" w:ascii="黑体" w:eastAsia="黑体"/>
          <w:sz w:val="28"/>
          <w:lang w:val="en-US" w:eastAsia="zh-CN"/>
        </w:rPr>
        <w:t>ZH</w:t>
      </w:r>
      <w:r>
        <w:rPr>
          <w:rFonts w:hint="eastAsia" w:ascii="黑体" w:eastAsia="黑体"/>
          <w:sz w:val="28"/>
        </w:rPr>
        <w:t xml:space="preserve"> </w:t>
      </w:r>
      <w:r>
        <w:rPr>
          <w:rFonts w:hint="eastAsia" w:ascii="黑体" w:eastAsia="黑体"/>
          <w:sz w:val="28"/>
          <w:lang w:val="en-US" w:eastAsia="zh-CN"/>
        </w:rPr>
        <w:t>XZ BF</w:t>
      </w:r>
      <w:r>
        <w:rPr>
          <w:rFonts w:hint="eastAsia" w:ascii="黑体" w:eastAsia="黑体"/>
          <w:sz w:val="28"/>
        </w:rPr>
        <w:t xml:space="preserve"> </w:t>
      </w:r>
      <w:r>
        <w:rPr>
          <w:rFonts w:hint="eastAsia" w:ascii="黑体" w:eastAsia="黑体"/>
          <w:sz w:val="28"/>
          <w:lang w:val="en-US" w:eastAsia="zh-CN"/>
        </w:rPr>
        <w:t>11</w:t>
      </w:r>
      <w:r>
        <w:rPr>
          <w:rFonts w:hint="eastAsia" w:ascii="黑体" w:eastAsia="黑体"/>
          <w:sz w:val="28"/>
        </w:rPr>
        <w:t>-2022</w:t>
      </w:r>
    </w:p>
    <w:p>
      <w:pPr>
        <w:pStyle w:val="6"/>
        <w:spacing w:line="30" w:lineRule="exact"/>
        <w:ind w:left="102"/>
        <w:rPr>
          <w:rFonts w:ascii="黑体"/>
          <w:sz w:val="3"/>
        </w:rPr>
      </w:pPr>
      <w:r>
        <w:rPr>
          <w:rFonts w:ascii="黑体"/>
          <w:position w:val="0"/>
          <w:sz w:val="3"/>
        </w:rPr>
        <mc:AlternateContent>
          <mc:Choice Requires="wpg">
            <w:drawing>
              <wp:inline distT="0" distB="0" distL="114300" distR="114300">
                <wp:extent cx="5278120" cy="18415"/>
                <wp:effectExtent l="0" t="0" r="0" b="0"/>
                <wp:docPr id="7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78120" cy="18415"/>
                          <a:chOff x="0" y="0"/>
                          <a:chExt cx="8312" cy="29"/>
                        </a:xfrm>
                      </wpg:grpSpPr>
                      <wps:wsp>
                        <wps:cNvPr id="11" name="直线 3"/>
                        <wps:cNvCnPr/>
                        <wps:spPr>
                          <a:xfrm>
                            <a:off x="0" y="14"/>
                            <a:ext cx="8312" cy="0"/>
                          </a:xfrm>
                          <a:prstGeom prst="line">
                            <a:avLst/>
                          </a:prstGeom>
                          <a:ln w="18288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1.45pt;width:415.6pt;" coordsize="8312,29" o:gfxdata="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DJZvol1QAAAAMBAAAPAAAAAAAAAAEAIAAAACIAAABkcnMvZG93bnJldi54bWxQ&#10;SwECFAAUAAAACACHTuJAWM+mFzMCAAC0BAAADgAAAAAAAAABACAAAAAkAQAAZHJzL2Uyb0RvYy54&#10;bWxQSwUGAAAAAAYABgBZAQAAyQUAAAAA&#10;">
                <o:lock v:ext="edit" aspectratio="f"/>
                <v:line id="直线 3" o:spid="_x0000_s1026" o:spt="20" style="position:absolute;left:0;top:14;height:0;width:8312;" filled="f" stroked="t" coordsize="21600,21600" o:gfxdata="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us8+HLgAAADbAAAA&#10;DwAAAAAAAAABACAAAAAiAAAAZHJzL2Rvd25yZXYueG1sUEsBAhQAFAAAAAgAh07iQDMvBZ47AAAA&#10;OQAAABAAAAAAAAAAAQAgAAAABwEAAGRycy9zaGFwZXhtbC54bWxQSwUGAAAAAAYABgBbAQAAsQMA&#10;AAAA&#10;">
                  <v:fill on="f" focussize="0,0"/>
                  <v:stroke weight="1.44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>
      <w:pPr>
        <w:pStyle w:val="6"/>
        <w:rPr>
          <w:rFonts w:ascii="黑体"/>
          <w:sz w:val="20"/>
        </w:rPr>
      </w:pPr>
    </w:p>
    <w:p>
      <w:pPr>
        <w:pStyle w:val="6"/>
        <w:rPr>
          <w:rFonts w:ascii="黑体"/>
          <w:sz w:val="20"/>
        </w:rPr>
      </w:pPr>
    </w:p>
    <w:p>
      <w:pPr>
        <w:pStyle w:val="6"/>
        <w:rPr>
          <w:rFonts w:ascii="黑体"/>
          <w:sz w:val="20"/>
        </w:rPr>
      </w:pPr>
    </w:p>
    <w:p>
      <w:pPr>
        <w:pStyle w:val="6"/>
        <w:rPr>
          <w:rFonts w:ascii="黑体"/>
          <w:sz w:val="20"/>
        </w:rPr>
      </w:pPr>
    </w:p>
    <w:p>
      <w:pPr>
        <w:pStyle w:val="6"/>
        <w:rPr>
          <w:rFonts w:ascii="黑体"/>
          <w:sz w:val="20"/>
        </w:rPr>
      </w:pPr>
    </w:p>
    <w:p>
      <w:pPr>
        <w:pStyle w:val="6"/>
        <w:rPr>
          <w:rFonts w:ascii="黑体"/>
          <w:sz w:val="20"/>
        </w:rPr>
      </w:pPr>
    </w:p>
    <w:p>
      <w:pPr>
        <w:pStyle w:val="6"/>
        <w:rPr>
          <w:rFonts w:ascii="黑体"/>
          <w:sz w:val="20"/>
        </w:rPr>
      </w:pPr>
    </w:p>
    <w:p>
      <w:pPr>
        <w:pStyle w:val="6"/>
        <w:rPr>
          <w:rFonts w:ascii="黑体"/>
          <w:sz w:val="20"/>
        </w:rPr>
      </w:pPr>
    </w:p>
    <w:p>
      <w:pPr>
        <w:pStyle w:val="6"/>
        <w:rPr>
          <w:rFonts w:ascii="黑体"/>
          <w:sz w:val="20"/>
        </w:rPr>
      </w:pPr>
    </w:p>
    <w:p>
      <w:pPr>
        <w:pStyle w:val="6"/>
        <w:rPr>
          <w:rFonts w:ascii="黑体"/>
          <w:sz w:val="20"/>
        </w:rPr>
      </w:pPr>
    </w:p>
    <w:p>
      <w:pPr>
        <w:pStyle w:val="6"/>
        <w:rPr>
          <w:rFonts w:ascii="黑体"/>
          <w:sz w:val="20"/>
        </w:rPr>
      </w:pPr>
    </w:p>
    <w:p>
      <w:pPr>
        <w:pStyle w:val="6"/>
        <w:rPr>
          <w:rFonts w:ascii="黑体"/>
          <w:sz w:val="20"/>
        </w:rPr>
      </w:pPr>
    </w:p>
    <w:p>
      <w:pPr>
        <w:pStyle w:val="6"/>
        <w:rPr>
          <w:rFonts w:ascii="黑体"/>
          <w:sz w:val="20"/>
        </w:rPr>
      </w:pPr>
    </w:p>
    <w:p>
      <w:pPr>
        <w:pStyle w:val="6"/>
        <w:spacing w:before="3"/>
        <w:rPr>
          <w:rFonts w:ascii="黑体"/>
          <w:sz w:val="21"/>
        </w:rPr>
      </w:pPr>
    </w:p>
    <w:p>
      <w:pPr>
        <w:spacing w:before="156" w:beforeLines="50" w:after="156" w:afterLines="50" w:line="400" w:lineRule="atLeast"/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信息公开管理办法</w:t>
      </w:r>
    </w:p>
    <w:p>
      <w:pPr>
        <w:spacing w:before="156" w:beforeLines="50" w:after="156" w:afterLines="50" w:line="400" w:lineRule="atLeast"/>
        <w:jc w:val="center"/>
        <w:rPr>
          <w:rFonts w:ascii="等线" w:hAnsi="等线"/>
          <w:b/>
          <w:bCs/>
          <w:sz w:val="32"/>
          <w:szCs w:val="32"/>
        </w:rPr>
      </w:pPr>
      <w:r>
        <w:rPr>
          <w:rFonts w:hint="eastAsia"/>
          <w:b/>
          <w:bCs/>
          <w:sz w:val="44"/>
          <w:szCs w:val="44"/>
        </w:rPr>
        <w:t>（试行</w:t>
      </w:r>
      <w:r>
        <w:rPr>
          <w:rFonts w:hint="eastAsia" w:ascii="宋体" w:hAnsi="宋体"/>
          <w:b/>
          <w:bCs/>
          <w:sz w:val="44"/>
          <w:szCs w:val="44"/>
        </w:rPr>
        <w:t>）</w:t>
      </w:r>
    </w:p>
    <w:p>
      <w:pPr>
        <w:pStyle w:val="6"/>
        <w:rPr>
          <w:b/>
          <w:sz w:val="44"/>
        </w:rPr>
      </w:pPr>
    </w:p>
    <w:p>
      <w:pPr>
        <w:pStyle w:val="6"/>
        <w:rPr>
          <w:b/>
          <w:sz w:val="44"/>
        </w:rPr>
      </w:pPr>
    </w:p>
    <w:p>
      <w:pPr>
        <w:pStyle w:val="6"/>
        <w:rPr>
          <w:b/>
          <w:sz w:val="44"/>
        </w:rPr>
      </w:pPr>
    </w:p>
    <w:p>
      <w:pPr>
        <w:pStyle w:val="6"/>
        <w:rPr>
          <w:b/>
          <w:sz w:val="44"/>
        </w:rPr>
      </w:pPr>
    </w:p>
    <w:p>
      <w:pPr>
        <w:pStyle w:val="6"/>
        <w:rPr>
          <w:b/>
          <w:sz w:val="44"/>
        </w:rPr>
      </w:pPr>
      <w:bookmarkStart w:id="0" w:name="_GoBack"/>
      <w:bookmarkEnd w:id="0"/>
    </w:p>
    <w:p>
      <w:pPr>
        <w:pStyle w:val="6"/>
        <w:rPr>
          <w:b/>
          <w:sz w:val="44"/>
        </w:rPr>
      </w:pPr>
    </w:p>
    <w:p>
      <w:pPr>
        <w:pStyle w:val="6"/>
        <w:rPr>
          <w:b/>
          <w:sz w:val="44"/>
        </w:rPr>
      </w:pPr>
    </w:p>
    <w:p>
      <w:pPr>
        <w:pStyle w:val="6"/>
        <w:rPr>
          <w:b/>
          <w:sz w:val="44"/>
        </w:rPr>
      </w:pPr>
    </w:p>
    <w:p>
      <w:pPr>
        <w:pStyle w:val="6"/>
        <w:rPr>
          <w:b/>
          <w:sz w:val="44"/>
        </w:rPr>
      </w:pPr>
    </w:p>
    <w:p>
      <w:pPr>
        <w:pStyle w:val="6"/>
        <w:rPr>
          <w:b/>
          <w:sz w:val="44"/>
        </w:rPr>
      </w:pPr>
    </w:p>
    <w:p>
      <w:pPr>
        <w:pStyle w:val="6"/>
        <w:spacing w:before="8"/>
        <w:rPr>
          <w:b/>
          <w:sz w:val="43"/>
        </w:rPr>
      </w:pPr>
    </w:p>
    <w:p>
      <w:pPr>
        <w:tabs>
          <w:tab w:val="left" w:pos="6158"/>
        </w:tabs>
        <w:spacing w:before="0"/>
        <w:ind w:left="0" w:right="115" w:firstLine="0"/>
        <w:jc w:val="center"/>
        <w:rPr>
          <w:rFonts w:hint="eastAsia" w:ascii="黑体" w:eastAsia="黑体"/>
          <w:sz w:val="28"/>
        </w:rPr>
      </w:pPr>
      <w: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1140460</wp:posOffset>
                </wp:positionH>
                <wp:positionV relativeFrom="paragraph">
                  <wp:posOffset>275590</wp:posOffset>
                </wp:positionV>
                <wp:extent cx="5278120" cy="0"/>
                <wp:effectExtent l="0" t="0" r="0" b="0"/>
                <wp:wrapTopAndBottom/>
                <wp:docPr id="12" name="直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78120" cy="0"/>
                        </a:xfrm>
                        <a:prstGeom prst="line">
                          <a:avLst/>
                        </a:prstGeom>
                        <a:ln w="18288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" o:spid="_x0000_s1026" o:spt="20" style="position:absolute;left:0pt;margin-left:89.8pt;margin-top:21.7pt;height:0pt;width:415.6pt;mso-position-horizontal-relative:page;mso-wrap-distance-bottom:0pt;mso-wrap-distance-top:0pt;z-index:-251655168;mso-width-relative:page;mso-height-relative:page;" filled="f" stroked="t" coordsize="21600,21600" o:gfxdata="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PUfnQNUAAAAKAQAADwAAAAAAAAABACAAAAAiAAAAZHJz&#10;L2Rvd25yZXYueG1sUEsBAhQAFAAAAAgAh07iQORAJDvOAQAAjwMAAA4AAAAAAAAAAQAgAAAAJAEA&#10;AGRycy9lMm9Eb2MueG1sUEsFBgAAAAAGAAYAWQEAAGQFAAAAAA==&#10;">
                <v:fill on="f" focussize="0,0"/>
                <v:stroke weight="1.44pt"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rFonts w:hint="eastAsia" w:ascii="黑体" w:eastAsia="黑体"/>
          <w:sz w:val="28"/>
        </w:rPr>
        <w:t>2022-11-0</w:t>
      </w:r>
      <w:r>
        <w:rPr>
          <w:rFonts w:hint="eastAsia" w:ascii="黑体" w:eastAsia="黑体"/>
          <w:sz w:val="28"/>
          <w:lang w:val="en-US" w:eastAsia="zh-CN"/>
        </w:rPr>
        <w:t>8</w:t>
      </w:r>
      <w:r>
        <w:rPr>
          <w:rFonts w:hint="eastAsia" w:ascii="黑体" w:eastAsia="黑体"/>
          <w:spacing w:val="-5"/>
          <w:sz w:val="28"/>
        </w:rPr>
        <w:t xml:space="preserve"> </w:t>
      </w:r>
      <w:r>
        <w:rPr>
          <w:rFonts w:hint="eastAsia" w:ascii="黑体" w:eastAsia="黑体"/>
          <w:sz w:val="28"/>
        </w:rPr>
        <w:t>发布</w:t>
      </w:r>
      <w:r>
        <w:rPr>
          <w:rFonts w:hint="eastAsia" w:ascii="黑体" w:eastAsia="黑体"/>
          <w:sz w:val="28"/>
          <w:lang w:val="en-US" w:eastAsia="zh-CN"/>
        </w:rPr>
        <w:t xml:space="preserve">                       </w:t>
      </w:r>
      <w:r>
        <w:rPr>
          <w:rFonts w:hint="eastAsia" w:ascii="黑体" w:eastAsia="黑体"/>
          <w:sz w:val="28"/>
        </w:rPr>
        <w:t>2022-11-0</w:t>
      </w:r>
      <w:r>
        <w:rPr>
          <w:rFonts w:hint="eastAsia" w:ascii="黑体" w:eastAsia="黑体"/>
          <w:sz w:val="28"/>
          <w:lang w:val="en-US" w:eastAsia="zh-CN"/>
        </w:rPr>
        <w:t>8</w:t>
      </w:r>
      <w:r>
        <w:rPr>
          <w:rFonts w:hint="eastAsia" w:ascii="黑体" w:eastAsia="黑体"/>
          <w:spacing w:val="-3"/>
          <w:sz w:val="28"/>
        </w:rPr>
        <w:t xml:space="preserve"> </w:t>
      </w:r>
      <w:r>
        <w:rPr>
          <w:rFonts w:hint="eastAsia" w:ascii="黑体" w:eastAsia="黑体"/>
          <w:sz w:val="28"/>
        </w:rPr>
        <w:t>实施</w:t>
      </w:r>
    </w:p>
    <w:p>
      <w:pPr>
        <w:tabs>
          <w:tab w:val="left" w:pos="4199"/>
        </w:tabs>
        <w:spacing w:before="0"/>
        <w:ind w:left="0" w:right="115" w:firstLine="0"/>
        <w:jc w:val="center"/>
        <w:rPr>
          <w:rFonts w:hint="eastAsia" w:ascii="黑体" w:eastAsia="黑体"/>
          <w:sz w:val="28"/>
          <w:lang w:eastAsia="zh-CN"/>
        </w:rPr>
      </w:pPr>
    </w:p>
    <w:p>
      <w:pPr>
        <w:tabs>
          <w:tab w:val="left" w:pos="4199"/>
        </w:tabs>
        <w:spacing w:before="0"/>
        <w:ind w:left="0" w:right="115" w:firstLine="0"/>
        <w:jc w:val="center"/>
        <w:rPr>
          <w:rFonts w:hint="eastAsia" w:ascii="黑体" w:eastAsia="黑体"/>
          <w:sz w:val="28"/>
        </w:rPr>
      </w:pPr>
      <w:r>
        <w:rPr>
          <w:rFonts w:hint="eastAsia" w:ascii="黑体" w:eastAsia="黑体"/>
          <w:sz w:val="28"/>
          <w:lang w:eastAsia="zh-CN"/>
        </w:rPr>
        <w:t>安徽省天然气销售有限公</w:t>
      </w:r>
      <w:r>
        <w:rPr>
          <w:rFonts w:hint="eastAsia" w:ascii="黑体" w:eastAsia="黑体"/>
          <w:sz w:val="28"/>
          <w:lang w:val="en-US" w:eastAsia="zh-CN"/>
        </w:rPr>
        <w:t>司</w:t>
      </w:r>
      <w:r>
        <w:rPr>
          <w:rFonts w:hint="eastAsia" w:ascii="黑体" w:eastAsia="黑体"/>
          <w:sz w:val="28"/>
        </w:rPr>
        <w:t>发布</w:t>
      </w:r>
    </w:p>
    <w:p>
      <w:pPr>
        <w:spacing w:after="0"/>
        <w:jc w:val="center"/>
        <w:rPr>
          <w:rFonts w:hint="eastAsia" w:ascii="黑体" w:eastAsia="黑体"/>
          <w:sz w:val="28"/>
        </w:rPr>
        <w:sectPr>
          <w:headerReference r:id="rId3" w:type="default"/>
          <w:pgSz w:w="11910" w:h="16840"/>
          <w:pgMar w:top="1420" w:right="1560" w:bottom="280" w:left="168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jc w:val="center"/>
        <w:textAlignment w:val="auto"/>
        <w:rPr>
          <w:rFonts w:ascii="宋体" w:hAns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</w:rPr>
        <w:t>安徽省</w:t>
      </w:r>
      <w:r>
        <w:rPr>
          <w:rFonts w:hint="eastAsia" w:ascii="宋体" w:hAnsi="宋体"/>
          <w:b/>
          <w:bCs/>
          <w:sz w:val="44"/>
          <w:szCs w:val="44"/>
          <w:lang w:val="en-US" w:eastAsia="zh-CN"/>
        </w:rPr>
        <w:t>天然气销售</w:t>
      </w:r>
      <w:r>
        <w:rPr>
          <w:rFonts w:hint="eastAsia" w:ascii="宋体" w:hAnsi="宋体"/>
          <w:b/>
          <w:bCs/>
          <w:sz w:val="44"/>
          <w:szCs w:val="44"/>
        </w:rPr>
        <w:t>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jc w:val="center"/>
        <w:textAlignment w:val="auto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信息公开管理办法（试行）</w:t>
      </w:r>
    </w:p>
    <w:p>
      <w:pPr>
        <w:pStyle w:val="2"/>
        <w:rPr>
          <w:lang w:val="en-US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总 则</w:t>
      </w:r>
    </w:p>
    <w:p>
      <w:pPr>
        <w:pStyle w:val="2"/>
        <w:numPr>
          <w:ilvl w:val="0"/>
          <w:numId w:val="0"/>
        </w:num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 xml:space="preserve">第一条 </w:t>
      </w:r>
      <w:r>
        <w:rPr>
          <w:rFonts w:hint="eastAsia" w:ascii="宋体" w:hAnsi="宋体" w:eastAsia="宋体" w:cs="宋体"/>
          <w:sz w:val="24"/>
          <w:szCs w:val="24"/>
        </w:rPr>
        <w:t>为规范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安徽省天然气销售有限公司</w:t>
      </w:r>
      <w:r>
        <w:rPr>
          <w:rFonts w:hint="eastAsia" w:ascii="宋体" w:hAnsi="宋体" w:eastAsia="宋体" w:cs="宋体"/>
          <w:sz w:val="24"/>
          <w:szCs w:val="24"/>
        </w:rPr>
        <w:t>（以下简称“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公司</w:t>
      </w:r>
      <w:r>
        <w:rPr>
          <w:rFonts w:hint="eastAsia" w:ascii="宋体" w:hAnsi="宋体" w:eastAsia="宋体" w:cs="宋体"/>
          <w:sz w:val="24"/>
          <w:szCs w:val="24"/>
        </w:rPr>
        <w:t>”）信息公开工作，提高公司工作透明度，主动接受社会监督，根据《省国资委关于推进省属企业信息公开的指导意见》（皖国资办〔2017〕204号）及2021年7月9日下发的《省国资委关于进一步推进省属企业信息公开工作的通知》等文件精神，结合公司实际，特制定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办法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</w:rPr>
        <w:t>第二条</w:t>
      </w:r>
      <w:r>
        <w:rPr>
          <w:rFonts w:hint="eastAsia" w:ascii="宋体" w:hAnsi="宋体" w:eastAsia="宋体" w:cs="宋体"/>
          <w:sz w:val="24"/>
          <w:szCs w:val="24"/>
        </w:rPr>
        <w:t xml:space="preserve"> 公司针对不同的信息选择适合的公开方式，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包括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省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公司门户网站、微信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公众号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4"/>
          <w:szCs w:val="24"/>
          <w:highlight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第三条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公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司综合管理部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作为信息公开的牵头部门，负责制订管理制度及日常工作；公司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各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部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门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依据本制度，在职责范围内做好信息公开工作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4"/>
          <w:szCs w:val="24"/>
          <w:highlight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各自职责详见《</w:t>
      </w:r>
      <w:r>
        <w:rPr>
          <w:rFonts w:hint="eastAsia" w:ascii="宋体" w:hAnsi="宋体" w:cs="宋体"/>
          <w:i w:val="0"/>
          <w:caps w:val="0"/>
          <w:color w:val="000000" w:themeColor="text1"/>
          <w:spacing w:val="0"/>
          <w:sz w:val="24"/>
          <w:szCs w:val="24"/>
          <w:highlight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销售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4"/>
          <w:szCs w:val="24"/>
          <w:highlight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公司信息</w:t>
      </w:r>
      <w:r>
        <w:rPr>
          <w:rFonts w:hint="eastAsia" w:ascii="宋体" w:hAnsi="宋体" w:cs="宋体"/>
          <w:i w:val="0"/>
          <w:caps w:val="0"/>
          <w:color w:val="000000" w:themeColor="text1"/>
          <w:spacing w:val="0"/>
          <w:sz w:val="24"/>
          <w:szCs w:val="24"/>
          <w:highlight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公开目录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4"/>
          <w:szCs w:val="24"/>
          <w:highlight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更新维护责任分工表》（附件</w:t>
      </w:r>
      <w:r>
        <w:rPr>
          <w:rFonts w:hint="eastAsia" w:ascii="宋体" w:hAnsi="宋体" w:cs="宋体"/>
          <w:i w:val="0"/>
          <w:caps w:val="0"/>
          <w:color w:val="000000" w:themeColor="text1"/>
          <w:spacing w:val="0"/>
          <w:sz w:val="24"/>
          <w:szCs w:val="24"/>
          <w:highlight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4"/>
          <w:szCs w:val="24"/>
          <w:highlight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）。</w:t>
      </w:r>
    </w:p>
    <w:p>
      <w:pPr>
        <w:pStyle w:val="2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  <w:t>信息公开的原则</w:t>
      </w:r>
    </w:p>
    <w:p>
      <w:pPr>
        <w:pStyle w:val="2"/>
        <w:numPr>
          <w:ilvl w:val="0"/>
          <w:numId w:val="0"/>
        </w:numPr>
        <w:ind w:leftChars="0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第四条</w:t>
      </w:r>
      <w:r>
        <w:rPr>
          <w:rFonts w:hint="eastAsia" w:ascii="宋体" w:hAnsi="宋体" w:eastAsia="宋体" w:cs="宋体"/>
          <w:sz w:val="24"/>
          <w:szCs w:val="24"/>
        </w:rPr>
        <w:t xml:space="preserve"> 信息公开坚持依法合规、真实准确、及时公开并严格责任的原则。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（一）依法合规。公开的信息必须依法合规，严格遵循法律、法规和相关规定，依法确定信息公开的内容、方式、范围和程序，严格保护国家秘密和商业秘密。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（二）真实准确。公开的信息应当真实、准确，不得有虚假记载、误导性陈述或者重大遗漏。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（三）及时公开。应当公开的信息应采取适当方式及时公开，不得隐瞒、拖延或不公开。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（四）严格责任。公司相关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单位</w:t>
      </w:r>
      <w:r>
        <w:rPr>
          <w:rFonts w:hint="eastAsia" w:ascii="宋体" w:hAnsi="宋体" w:eastAsia="宋体" w:cs="宋体"/>
          <w:sz w:val="24"/>
          <w:szCs w:val="24"/>
        </w:rPr>
        <w:t>按照“谁形成谁公开，谁公开谁负责”的原则，对提供的公开信息负责。</w:t>
      </w:r>
    </w:p>
    <w:p>
      <w:pPr>
        <w:pStyle w:val="2"/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信息公开的内容</w:t>
      </w:r>
    </w:p>
    <w:p>
      <w:pPr>
        <w:pStyle w:val="2"/>
        <w:widowControl w:val="0"/>
        <w:numPr>
          <w:ilvl w:val="0"/>
          <w:numId w:val="0"/>
        </w:numPr>
        <w:spacing w:after="120" w:line="360" w:lineRule="auto"/>
        <w:jc w:val="both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第五条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信息公开的内容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（一）企业信息：主要包括企业简介、工商注册登记等企业基本信息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（二）经济信息：主要包括企业年度主要财务经营情况、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年度国有资本保值增值情况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；</w:t>
      </w:r>
    </w:p>
    <w:p>
      <w:pPr>
        <w:pStyle w:val="2"/>
        <w:rPr>
          <w:rFonts w:hint="default" w:ascii="宋体" w:hAnsi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组织架构信息；</w:t>
      </w:r>
    </w:p>
    <w:p>
      <w:pPr>
        <w:pStyle w:val="2"/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（四）机构领导信息；</w:t>
      </w:r>
    </w:p>
    <w:p>
      <w:pPr>
        <w:pStyle w:val="3"/>
        <w:bidi w:val="0"/>
        <w:rPr>
          <w:rFonts w:hint="eastAsia" w:ascii="宋体" w:hAnsi="宋体" w:eastAsia="宋体" w:cs="宋体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五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）其他依照法律法规规定应当主动公开的信息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第六条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不予公开的信息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（一）涉及国家秘密的信息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涉及商业秘密、个人隐私的信息。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（二）公开后可能会影响检查、调查取证、审议等执法活动的信息。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（三）公司认定的可能对他人隐私和名誉构成侵害、对相关人员合法权益造成损害、对企业及社会的正常秩序带来影响的信息。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（四）其他法律、行政法规规定不予公开的信息。</w:t>
      </w: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  <w:t>审批流程</w:t>
      </w:r>
    </w:p>
    <w:p>
      <w:pPr>
        <w:pStyle w:val="2"/>
        <w:numPr>
          <w:ilvl w:val="0"/>
          <w:numId w:val="0"/>
        </w:numPr>
        <w:ind w:leftChars="0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第七条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需采用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公司门户网站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、微信公众号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形式公开的信息，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《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安徽省天然气开发股份有限公司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网站信息发布管理办法》执行。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 xml:space="preserve">第八条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需采用其他形式公开的信息，经相关部门负责人、分管领导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审核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同意，提交公司主要领导审批后方可公开。</w:t>
      </w:r>
    </w:p>
    <w:p>
      <w:pPr>
        <w:pStyle w:val="2"/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  <w:t>保密审查</w:t>
      </w:r>
    </w:p>
    <w:p>
      <w:pPr>
        <w:pStyle w:val="2"/>
        <w:numPr>
          <w:ilvl w:val="0"/>
          <w:numId w:val="0"/>
        </w:numPr>
        <w:ind w:leftChars="0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第九条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公司在公开信息前，应当依照《中华人民共和国保守国家秘密法》以及其他法律、法规的规定，对拟公开信息进行保密审查，对信息不能确定是否涉密时，应当报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公司主要领导</w:t>
      </w:r>
      <w:r>
        <w:rPr>
          <w:rFonts w:hint="eastAsia" w:ascii="宋体" w:hAnsi="宋体" w:eastAsia="宋体" w:cs="宋体"/>
          <w:sz w:val="24"/>
          <w:szCs w:val="24"/>
        </w:rPr>
        <w:t>确定。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第十条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综合管理部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负责</w:t>
      </w:r>
      <w:r>
        <w:rPr>
          <w:rFonts w:hint="eastAsia" w:ascii="宋体" w:hAnsi="宋体" w:eastAsia="宋体" w:cs="宋体"/>
          <w:sz w:val="24"/>
          <w:szCs w:val="24"/>
        </w:rPr>
        <w:t>指导各部门对拟公开信息进行保密审查，督促检查信息公开工作中的保密责任落实情况。</w:t>
      </w:r>
    </w:p>
    <w:p>
      <w:pPr>
        <w:pStyle w:val="2"/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附 则</w:t>
      </w:r>
    </w:p>
    <w:p>
      <w:pPr>
        <w:pStyle w:val="2"/>
        <w:numPr>
          <w:ilvl w:val="0"/>
          <w:numId w:val="0"/>
        </w:numPr>
        <w:ind w:leftChars="0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第十一条 </w:t>
      </w:r>
      <w:r>
        <w:rPr>
          <w:rFonts w:hint="eastAsia" w:ascii="宋体" w:hAnsi="宋体" w:eastAsia="宋体" w:cs="宋体"/>
          <w:sz w:val="24"/>
          <w:szCs w:val="24"/>
        </w:rPr>
        <w:t>本办法由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公司综合管理部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负</w:t>
      </w:r>
      <w:r>
        <w:rPr>
          <w:rFonts w:hint="eastAsia" w:ascii="宋体" w:hAnsi="宋体" w:eastAsia="宋体" w:cs="宋体"/>
          <w:sz w:val="24"/>
          <w:szCs w:val="24"/>
        </w:rPr>
        <w:t>责解释</w:t>
      </w:r>
      <w:r>
        <w:rPr>
          <w:rFonts w:hint="eastAsia" w:ascii="宋体" w:hAnsi="宋体" w:cs="宋体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第十二条</w:t>
      </w:r>
      <w:r>
        <w:rPr>
          <w:rFonts w:hint="eastAsia" w:ascii="宋体" w:hAnsi="宋体" w:eastAsia="宋体" w:cs="宋体"/>
          <w:sz w:val="24"/>
          <w:szCs w:val="24"/>
        </w:rPr>
        <w:t xml:space="preserve"> 本办法自印发之日起施行。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/>
        <w:textAlignment w:val="auto"/>
        <w:rPr>
          <w:rFonts w:ascii="宋体" w:hAnsi="宋体"/>
          <w:bCs/>
          <w:sz w:val="24"/>
          <w:szCs w:val="24"/>
        </w:rPr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  <w:ind w:firstLine="264" w:firstLineChars="0"/>
        <w:jc w:val="left"/>
      </w:pPr>
    </w:p>
    <w:p>
      <w:pPr>
        <w:pStyle w:val="2"/>
      </w:pPr>
    </w:p>
    <w:p>
      <w:pPr>
        <w:pStyle w:val="2"/>
        <w:sectPr>
          <w:headerReference r:id="rId5" w:type="first"/>
          <w:headerReference r:id="rId4" w:type="default"/>
          <w:footerReference r:id="rId6" w:type="default"/>
          <w:footerReference r:id="rId7" w:type="even"/>
          <w:pgSz w:w="11906" w:h="16838"/>
          <w:pgMar w:top="1440" w:right="1797" w:bottom="1440" w:left="1797" w:header="851" w:footer="992" w:gutter="0"/>
          <w:pgNumType w:start="0"/>
          <w:cols w:space="425" w:num="1"/>
          <w:titlePg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附件一：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yellow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销售公司信息公开目录更新维护责任分工表</w:t>
      </w:r>
    </w:p>
    <w:tbl>
      <w:tblPr>
        <w:tblStyle w:val="13"/>
        <w:tblpPr w:leftFromText="180" w:rightFromText="180" w:vertAnchor="text" w:horzAnchor="page" w:tblpXSpec="center" w:tblpY="839"/>
        <w:tblOverlap w:val="never"/>
        <w:tblW w:w="101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0"/>
        <w:gridCol w:w="5819"/>
        <w:gridCol w:w="20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06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栏目名称</w:t>
            </w:r>
          </w:p>
        </w:tc>
        <w:tc>
          <w:tcPr>
            <w:tcW w:w="2081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责任单位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一级栏目</w:t>
            </w:r>
          </w:p>
        </w:tc>
        <w:tc>
          <w:tcPr>
            <w:tcW w:w="581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二级栏目</w:t>
            </w:r>
          </w:p>
        </w:tc>
        <w:tc>
          <w:tcPr>
            <w:tcW w:w="2081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5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企业信息</w:t>
            </w:r>
          </w:p>
        </w:tc>
        <w:tc>
          <w:tcPr>
            <w:tcW w:w="581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企业简介</w:t>
            </w:r>
          </w:p>
        </w:tc>
        <w:tc>
          <w:tcPr>
            <w:tcW w:w="2081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综合管理部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5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81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工商注册基本信息</w:t>
            </w:r>
          </w:p>
        </w:tc>
        <w:tc>
          <w:tcPr>
            <w:tcW w:w="208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综合管理部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5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经济信息</w:t>
            </w:r>
          </w:p>
        </w:tc>
        <w:tc>
          <w:tcPr>
            <w:tcW w:w="581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财务经营状况</w:t>
            </w:r>
          </w:p>
        </w:tc>
        <w:tc>
          <w:tcPr>
            <w:tcW w:w="2081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财务管理部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5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81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国有资产保值增值</w:t>
            </w:r>
          </w:p>
        </w:tc>
        <w:tc>
          <w:tcPr>
            <w:tcW w:w="208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财务管理部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5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81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年度工作报告</w:t>
            </w:r>
          </w:p>
        </w:tc>
        <w:tc>
          <w:tcPr>
            <w:tcW w:w="2081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综合管理部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225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组织架构信息</w:t>
            </w:r>
          </w:p>
        </w:tc>
        <w:tc>
          <w:tcPr>
            <w:tcW w:w="581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组织架构</w:t>
            </w:r>
          </w:p>
        </w:tc>
        <w:tc>
          <w:tcPr>
            <w:tcW w:w="2081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综合管理部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2250" w:type="dxa"/>
            <w:vAlign w:val="center"/>
          </w:tcPr>
          <w:p>
            <w:pPr>
              <w:jc w:val="center"/>
              <w:rPr>
                <w:rFonts w:hint="default" w:eastAsia="宋体"/>
                <w:szCs w:val="24"/>
                <w:lang w:val="en-US" w:eastAsia="zh-CN"/>
              </w:rPr>
            </w:pPr>
            <w:r>
              <w:rPr>
                <w:rFonts w:hint="eastAsia"/>
                <w:szCs w:val="24"/>
                <w:lang w:val="en-US" w:eastAsia="zh-CN"/>
              </w:rPr>
              <w:t>机构领导信息</w:t>
            </w:r>
          </w:p>
        </w:tc>
        <w:tc>
          <w:tcPr>
            <w:tcW w:w="581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机构领导</w:t>
            </w:r>
          </w:p>
        </w:tc>
        <w:tc>
          <w:tcPr>
            <w:tcW w:w="208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综合管理部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225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其他</w:t>
            </w:r>
          </w:p>
        </w:tc>
        <w:tc>
          <w:tcPr>
            <w:tcW w:w="581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208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综合管理部</w:t>
            </w:r>
          </w:p>
        </w:tc>
      </w:tr>
    </w:tbl>
    <w:p>
      <w:pPr>
        <w:pStyle w:val="2"/>
        <w:keepNext w:val="0"/>
        <w:keepLines w:val="0"/>
        <w:pageBreakBefore w:val="0"/>
        <w:widowControl w:val="0"/>
        <w:tabs>
          <w:tab w:val="left" w:pos="109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jc w:val="left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sectPr>
          <w:headerReference r:id="rId8" w:type="first"/>
          <w:footerReference r:id="rId10" w:type="first"/>
          <w:footerReference r:id="rId9" w:type="default"/>
          <w:pgSz w:w="16838" w:h="11906" w:orient="landscape"/>
          <w:pgMar w:top="1797" w:right="1440" w:bottom="1797" w:left="1440" w:header="851" w:footer="992" w:gutter="0"/>
          <w:pgNumType w:fmt="decimal"/>
          <w:cols w:space="425" w:num="1"/>
          <w:titlePg/>
          <w:docGrid w:type="lines" w:linePitch="312" w:charSpace="0"/>
        </w:sectPr>
      </w:pPr>
    </w:p>
    <w:p>
      <w:pPr>
        <w:pStyle w:val="2"/>
        <w:keepNext w:val="0"/>
        <w:keepLines w:val="0"/>
        <w:pageBreakBefore w:val="0"/>
        <w:widowControl w:val="0"/>
        <w:tabs>
          <w:tab w:val="left" w:pos="109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jc w:val="left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highlight w:val="darkGray"/>
          <w:lang w:val="en-US" w:eastAsia="zh-CN"/>
        </w:rPr>
      </w:pPr>
    </w:p>
    <w:sectPr>
      <w:footerReference r:id="rId12" w:type="first"/>
      <w:footerReference r:id="rId11" w:type="default"/>
      <w:pgSz w:w="16838" w:h="11906" w:orient="landscape"/>
      <w:pgMar w:top="1797" w:right="1440" w:bottom="1797" w:left="1440" w:header="851" w:footer="992" w:gutter="0"/>
      <w:pgNumType w:fmt="decimal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center"/>
      <w:rPr>
        <w:rFonts w:hint="eastAsia" w:ascii="宋体" w:hAnsi="宋体" w:eastAsia="宋体" w:cs="宋体"/>
        <w:sz w:val="21"/>
        <w:szCs w:val="21"/>
      </w:rPr>
    </w:pPr>
    <w:r>
      <w:rPr>
        <w:rFonts w:hint="eastAsia" w:ascii="宋体" w:hAnsi="宋体" w:eastAsia="宋体" w:cs="宋体"/>
        <w:sz w:val="21"/>
        <w:szCs w:val="21"/>
      </w:rPr>
      <w:fldChar w:fldCharType="begin"/>
    </w:r>
    <w:r>
      <w:rPr>
        <w:rFonts w:hint="eastAsia" w:ascii="宋体" w:hAnsi="宋体" w:eastAsia="宋体" w:cs="宋体"/>
        <w:sz w:val="21"/>
        <w:szCs w:val="21"/>
      </w:rPr>
      <w:instrText xml:space="preserve">PAGE   \* MERGEFORMAT</w:instrText>
    </w:r>
    <w:r>
      <w:rPr>
        <w:rFonts w:hint="eastAsia" w:ascii="宋体" w:hAnsi="宋体" w:eastAsia="宋体" w:cs="宋体"/>
        <w:sz w:val="21"/>
        <w:szCs w:val="21"/>
      </w:rPr>
      <w:fldChar w:fldCharType="separate"/>
    </w:r>
    <w:r>
      <w:rPr>
        <w:rFonts w:hint="eastAsia" w:ascii="宋体" w:hAnsi="宋体" w:eastAsia="宋体" w:cs="宋体"/>
        <w:sz w:val="21"/>
        <w:szCs w:val="21"/>
      </w:rPr>
      <w:t>2</w:t>
    </w:r>
    <w:r>
      <w:rPr>
        <w:rFonts w:hint="eastAsia" w:ascii="宋体" w:hAnsi="宋体" w:eastAsia="宋体" w:cs="宋体"/>
        <w:sz w:val="21"/>
        <w:szCs w:val="21"/>
      </w:rPr>
      <w:fldChar w:fldCharType="end"/>
    </w:r>
  </w:p>
  <w:p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outside" w:y="1"/>
      <w:rPr>
        <w:rStyle w:val="15"/>
      </w:rPr>
    </w:pPr>
    <w:r>
      <w:rPr>
        <w:rStyle w:val="15"/>
      </w:rPr>
      <w:fldChar w:fldCharType="begin"/>
    </w:r>
    <w:r>
      <w:rPr>
        <w:rStyle w:val="15"/>
      </w:rPr>
      <w:instrText xml:space="preserve">PAGE  </w:instrText>
    </w:r>
    <w:r>
      <w:rPr>
        <w:rStyle w:val="15"/>
      </w:rPr>
      <w:fldChar w:fldCharType="end"/>
    </w:r>
  </w:p>
  <w:p>
    <w:pPr>
      <w:pStyle w:val="8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center"/>
      <w:rPr>
        <w:rFonts w:hint="eastAsia" w:ascii="宋体" w:hAnsi="宋体" w:eastAsia="宋体" w:cs="宋体"/>
        <w:sz w:val="21"/>
        <w:szCs w:val="21"/>
      </w:rPr>
    </w:pPr>
  </w:p>
  <w:p>
    <w:pPr>
      <w:pStyle w:val="8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center"/>
      <w:rPr>
        <w:rFonts w:hint="eastAsia" w:ascii="宋体" w:hAnsi="宋体" w:eastAsia="宋体" w:cs="宋体"/>
        <w:sz w:val="21"/>
        <w:szCs w:val="21"/>
      </w:rPr>
    </w:pPr>
  </w:p>
  <w:p>
    <w:pPr>
      <w:pStyle w:val="8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left"/>
      <w:rPr>
        <w:sz w:val="18"/>
        <w:szCs w:val="18"/>
      </w:rPr>
    </w:pPr>
    <w:r>
      <w:rPr>
        <w:kern w:val="0"/>
        <w:sz w:val="18"/>
        <w:szCs w:val="18"/>
      </w:rPr>
      <w:drawing>
        <wp:inline distT="0" distB="0" distL="0" distR="0">
          <wp:extent cx="231140" cy="220980"/>
          <wp:effectExtent l="0" t="0" r="0" b="0"/>
          <wp:docPr id="1" name="图片 5" descr="7A3ZYVRCBGCKOW(8V36Y@8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5" descr="7A3ZYVRCBGCKOW(8V36Y@8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1140" cy="220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kern w:val="0"/>
        <w:sz w:val="18"/>
        <w:szCs w:val="18"/>
        <w:lang w:val="en-US" w:eastAsia="zh-CN"/>
      </w:rPr>
      <w:t>安徽省天然气销售有限公司</w:t>
    </w:r>
    <w:r>
      <w:rPr>
        <w:rFonts w:hint="eastAsia"/>
        <w:color w:val="000000" w:themeColor="text1"/>
        <w:kern w:val="0"/>
        <w:lang w:val="en-US" w:eastAsia="zh-CN"/>
        <w14:textFill>
          <w14:solidFill>
            <w14:schemeClr w14:val="tx1"/>
          </w14:solidFill>
        </w14:textFill>
      </w:rPr>
      <w:t xml:space="preserve">                                       </w:t>
    </w:r>
    <w:r>
      <w:rPr>
        <w:rFonts w:hint="eastAsia"/>
        <w:color w:val="000000" w:themeColor="text1"/>
        <w:kern w:val="0"/>
        <w:sz w:val="18"/>
        <w:szCs w:val="18"/>
        <w14:textFill>
          <w14:solidFill>
            <w14:schemeClr w14:val="tx1"/>
          </w14:solidFill>
        </w14:textFill>
      </w:rPr>
      <w:t>信息公开管理办法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left"/>
      <w:rPr>
        <w:sz w:val="18"/>
        <w:szCs w:val="18"/>
      </w:rPr>
    </w:pPr>
    <w:r>
      <w:rPr>
        <w:kern w:val="0"/>
        <w:sz w:val="18"/>
        <w:szCs w:val="18"/>
      </w:rPr>
      <w:drawing>
        <wp:inline distT="0" distB="0" distL="0" distR="0">
          <wp:extent cx="231140" cy="220980"/>
          <wp:effectExtent l="0" t="0" r="16510" b="7620"/>
          <wp:docPr id="13" name="图片 5" descr="7A3ZYVRCBGCKOW(8V36Y@8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图片 5" descr="7A3ZYVRCBGCKOW(8V36Y@8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1140" cy="220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kern w:val="0"/>
        <w:sz w:val="18"/>
        <w:szCs w:val="18"/>
        <w:lang w:val="en-US" w:eastAsia="zh-CN"/>
      </w:rPr>
      <w:t>安徽省天然气销售有限公司</w:t>
    </w:r>
    <w:r>
      <w:rPr>
        <w:rFonts w:hint="eastAsia"/>
        <w:color w:val="000000" w:themeColor="text1"/>
        <w:kern w:val="0"/>
        <w:lang w:val="en-US" w:eastAsia="zh-CN"/>
        <w14:textFill>
          <w14:solidFill>
            <w14:schemeClr w14:val="tx1"/>
          </w14:solidFill>
        </w14:textFill>
      </w:rPr>
      <w:t xml:space="preserve">                                       </w:t>
    </w:r>
    <w:r>
      <w:rPr>
        <w:rFonts w:hint="eastAsia"/>
        <w:color w:val="000000" w:themeColor="text1"/>
        <w:kern w:val="0"/>
        <w:sz w:val="18"/>
        <w:szCs w:val="18"/>
        <w14:textFill>
          <w14:solidFill>
            <w14:schemeClr w14:val="tx1"/>
          </w14:solidFill>
        </w14:textFill>
      </w:rPr>
      <w:t>信息公开管理办法</w:t>
    </w:r>
  </w:p>
  <w:p>
    <w:pPr>
      <w:pStyle w:val="9"/>
      <w:pBdr>
        <w:bottom w:val="none" w:color="auto" w:sz="0" w:space="1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258E76B"/>
    <w:multiLevelType w:val="singleLevel"/>
    <w:tmpl w:val="E258E76B"/>
    <w:lvl w:ilvl="0" w:tentative="0">
      <w:start w:val="1"/>
      <w:numFmt w:val="chineseCounting"/>
      <w:suff w:val="space"/>
      <w:lvlText w:val="第%1章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2M2FlYjQ2ODRjNTZmYTdjZDdjMzBjNGNhNWUzZDEifQ=="/>
  </w:docVars>
  <w:rsids>
    <w:rsidRoot w:val="00054DEB"/>
    <w:rsid w:val="000066DD"/>
    <w:rsid w:val="00007934"/>
    <w:rsid w:val="0004399E"/>
    <w:rsid w:val="00054DEB"/>
    <w:rsid w:val="00067F1A"/>
    <w:rsid w:val="000805CF"/>
    <w:rsid w:val="0009216F"/>
    <w:rsid w:val="000B7C60"/>
    <w:rsid w:val="000C5CB6"/>
    <w:rsid w:val="000E057B"/>
    <w:rsid w:val="000E1528"/>
    <w:rsid w:val="001039F1"/>
    <w:rsid w:val="001068BE"/>
    <w:rsid w:val="00120859"/>
    <w:rsid w:val="0013207E"/>
    <w:rsid w:val="0014109A"/>
    <w:rsid w:val="001518B8"/>
    <w:rsid w:val="0016764F"/>
    <w:rsid w:val="00177136"/>
    <w:rsid w:val="001902E2"/>
    <w:rsid w:val="001A0D10"/>
    <w:rsid w:val="001C16CF"/>
    <w:rsid w:val="001D3911"/>
    <w:rsid w:val="001D626B"/>
    <w:rsid w:val="001F50ED"/>
    <w:rsid w:val="0021027B"/>
    <w:rsid w:val="002153FD"/>
    <w:rsid w:val="002734DF"/>
    <w:rsid w:val="00275FC3"/>
    <w:rsid w:val="002773F0"/>
    <w:rsid w:val="00283296"/>
    <w:rsid w:val="0028399E"/>
    <w:rsid w:val="00285C5C"/>
    <w:rsid w:val="002A6FA1"/>
    <w:rsid w:val="002B29CC"/>
    <w:rsid w:val="002B7B26"/>
    <w:rsid w:val="002C2D3B"/>
    <w:rsid w:val="002C3442"/>
    <w:rsid w:val="002C398D"/>
    <w:rsid w:val="002C5AA6"/>
    <w:rsid w:val="002E682F"/>
    <w:rsid w:val="002F6EB6"/>
    <w:rsid w:val="002F7BA9"/>
    <w:rsid w:val="00304131"/>
    <w:rsid w:val="00310EB2"/>
    <w:rsid w:val="00327C13"/>
    <w:rsid w:val="003419F5"/>
    <w:rsid w:val="00344275"/>
    <w:rsid w:val="00345A65"/>
    <w:rsid w:val="00355A9B"/>
    <w:rsid w:val="003722DE"/>
    <w:rsid w:val="0037668E"/>
    <w:rsid w:val="003A28B6"/>
    <w:rsid w:val="003A3D4C"/>
    <w:rsid w:val="003B76FC"/>
    <w:rsid w:val="003C1FDC"/>
    <w:rsid w:val="003C477D"/>
    <w:rsid w:val="003D3B63"/>
    <w:rsid w:val="003E2F04"/>
    <w:rsid w:val="003E445E"/>
    <w:rsid w:val="00400408"/>
    <w:rsid w:val="00402269"/>
    <w:rsid w:val="004102EB"/>
    <w:rsid w:val="004105A5"/>
    <w:rsid w:val="00423EC9"/>
    <w:rsid w:val="004623D5"/>
    <w:rsid w:val="00467FEA"/>
    <w:rsid w:val="00486B5E"/>
    <w:rsid w:val="004B63EA"/>
    <w:rsid w:val="004E73A4"/>
    <w:rsid w:val="004F0BFB"/>
    <w:rsid w:val="004F4D59"/>
    <w:rsid w:val="004F5D39"/>
    <w:rsid w:val="00502BD1"/>
    <w:rsid w:val="0054546F"/>
    <w:rsid w:val="00545935"/>
    <w:rsid w:val="00545B56"/>
    <w:rsid w:val="00552E38"/>
    <w:rsid w:val="00581D1C"/>
    <w:rsid w:val="00590C8D"/>
    <w:rsid w:val="005962D0"/>
    <w:rsid w:val="005B34AC"/>
    <w:rsid w:val="005C0BC6"/>
    <w:rsid w:val="005C584F"/>
    <w:rsid w:val="005F670D"/>
    <w:rsid w:val="005F69B1"/>
    <w:rsid w:val="00603A40"/>
    <w:rsid w:val="00605AD9"/>
    <w:rsid w:val="00632564"/>
    <w:rsid w:val="00644D95"/>
    <w:rsid w:val="00652D1C"/>
    <w:rsid w:val="006732D1"/>
    <w:rsid w:val="00691B90"/>
    <w:rsid w:val="006C3F94"/>
    <w:rsid w:val="006D45B6"/>
    <w:rsid w:val="006D7F55"/>
    <w:rsid w:val="006F7B3C"/>
    <w:rsid w:val="007138C7"/>
    <w:rsid w:val="0075404D"/>
    <w:rsid w:val="00754A37"/>
    <w:rsid w:val="007900F7"/>
    <w:rsid w:val="007D1E09"/>
    <w:rsid w:val="007D3572"/>
    <w:rsid w:val="007D5EB8"/>
    <w:rsid w:val="007E22B2"/>
    <w:rsid w:val="007E35D3"/>
    <w:rsid w:val="007F1AB1"/>
    <w:rsid w:val="007F227A"/>
    <w:rsid w:val="00801739"/>
    <w:rsid w:val="00812507"/>
    <w:rsid w:val="00815C51"/>
    <w:rsid w:val="00827AEC"/>
    <w:rsid w:val="00867EEB"/>
    <w:rsid w:val="008719A6"/>
    <w:rsid w:val="00880DF4"/>
    <w:rsid w:val="008844E7"/>
    <w:rsid w:val="008A5C75"/>
    <w:rsid w:val="008C541E"/>
    <w:rsid w:val="008D1C0F"/>
    <w:rsid w:val="008F1E8E"/>
    <w:rsid w:val="00955588"/>
    <w:rsid w:val="00970D87"/>
    <w:rsid w:val="009779CE"/>
    <w:rsid w:val="009844E8"/>
    <w:rsid w:val="009C05CB"/>
    <w:rsid w:val="009E1BD0"/>
    <w:rsid w:val="009E3B95"/>
    <w:rsid w:val="009E3E0D"/>
    <w:rsid w:val="00A217D6"/>
    <w:rsid w:val="00A471A0"/>
    <w:rsid w:val="00A71A0E"/>
    <w:rsid w:val="00A80BEB"/>
    <w:rsid w:val="00A94C9D"/>
    <w:rsid w:val="00AB108B"/>
    <w:rsid w:val="00AC06C7"/>
    <w:rsid w:val="00AC1F13"/>
    <w:rsid w:val="00AD22AB"/>
    <w:rsid w:val="00B12923"/>
    <w:rsid w:val="00B16F09"/>
    <w:rsid w:val="00B45363"/>
    <w:rsid w:val="00B516BF"/>
    <w:rsid w:val="00B629A0"/>
    <w:rsid w:val="00B65D93"/>
    <w:rsid w:val="00B702E2"/>
    <w:rsid w:val="00B822FA"/>
    <w:rsid w:val="00B83AD5"/>
    <w:rsid w:val="00B908E2"/>
    <w:rsid w:val="00B90B7F"/>
    <w:rsid w:val="00B9228F"/>
    <w:rsid w:val="00BB3A9C"/>
    <w:rsid w:val="00C165D8"/>
    <w:rsid w:val="00C271D7"/>
    <w:rsid w:val="00C30684"/>
    <w:rsid w:val="00C345C5"/>
    <w:rsid w:val="00C41324"/>
    <w:rsid w:val="00C5609D"/>
    <w:rsid w:val="00C6591A"/>
    <w:rsid w:val="00C67B4C"/>
    <w:rsid w:val="00C76AF4"/>
    <w:rsid w:val="00C86D08"/>
    <w:rsid w:val="00C90199"/>
    <w:rsid w:val="00CB7B89"/>
    <w:rsid w:val="00CE0F34"/>
    <w:rsid w:val="00D152FD"/>
    <w:rsid w:val="00D30429"/>
    <w:rsid w:val="00D424CF"/>
    <w:rsid w:val="00D44C1B"/>
    <w:rsid w:val="00D45398"/>
    <w:rsid w:val="00D64543"/>
    <w:rsid w:val="00D95DF5"/>
    <w:rsid w:val="00DC1575"/>
    <w:rsid w:val="00DC6167"/>
    <w:rsid w:val="00DD72E4"/>
    <w:rsid w:val="00DF175B"/>
    <w:rsid w:val="00E05392"/>
    <w:rsid w:val="00E1326B"/>
    <w:rsid w:val="00E50A1A"/>
    <w:rsid w:val="00E72C15"/>
    <w:rsid w:val="00E76C99"/>
    <w:rsid w:val="00E777D3"/>
    <w:rsid w:val="00E83815"/>
    <w:rsid w:val="00EA0C7E"/>
    <w:rsid w:val="00EA2007"/>
    <w:rsid w:val="00EB4FE0"/>
    <w:rsid w:val="00EE2B4F"/>
    <w:rsid w:val="00EF08C8"/>
    <w:rsid w:val="00F03BE7"/>
    <w:rsid w:val="00F10C08"/>
    <w:rsid w:val="00F23E98"/>
    <w:rsid w:val="00F47316"/>
    <w:rsid w:val="00F50375"/>
    <w:rsid w:val="00F607C2"/>
    <w:rsid w:val="00F82839"/>
    <w:rsid w:val="00F905E2"/>
    <w:rsid w:val="00FB7E47"/>
    <w:rsid w:val="00FC001F"/>
    <w:rsid w:val="00FD5A61"/>
    <w:rsid w:val="00FF31C6"/>
    <w:rsid w:val="035D521E"/>
    <w:rsid w:val="06282A79"/>
    <w:rsid w:val="080757D5"/>
    <w:rsid w:val="09EB15DF"/>
    <w:rsid w:val="0B3C3800"/>
    <w:rsid w:val="0E875D78"/>
    <w:rsid w:val="0EBB535A"/>
    <w:rsid w:val="0EC453E3"/>
    <w:rsid w:val="0EE51E47"/>
    <w:rsid w:val="11FF3318"/>
    <w:rsid w:val="13282B50"/>
    <w:rsid w:val="16C075C4"/>
    <w:rsid w:val="17A93256"/>
    <w:rsid w:val="1825158E"/>
    <w:rsid w:val="19E30EAF"/>
    <w:rsid w:val="1F426124"/>
    <w:rsid w:val="209B4FAB"/>
    <w:rsid w:val="230C159F"/>
    <w:rsid w:val="262A36F6"/>
    <w:rsid w:val="27FF27CF"/>
    <w:rsid w:val="292F0423"/>
    <w:rsid w:val="2AE2428F"/>
    <w:rsid w:val="2F1F447F"/>
    <w:rsid w:val="334D560F"/>
    <w:rsid w:val="341E6014"/>
    <w:rsid w:val="36C34BC3"/>
    <w:rsid w:val="379E5749"/>
    <w:rsid w:val="37D76C70"/>
    <w:rsid w:val="385C55E0"/>
    <w:rsid w:val="3B3A0538"/>
    <w:rsid w:val="3BA129AE"/>
    <w:rsid w:val="3D1E3DB8"/>
    <w:rsid w:val="3EB73CAA"/>
    <w:rsid w:val="3EE420F7"/>
    <w:rsid w:val="420C1456"/>
    <w:rsid w:val="42182D1B"/>
    <w:rsid w:val="442E7C2D"/>
    <w:rsid w:val="45B53A92"/>
    <w:rsid w:val="49DB6561"/>
    <w:rsid w:val="4AB75CD9"/>
    <w:rsid w:val="4B1E16F8"/>
    <w:rsid w:val="4D8A496F"/>
    <w:rsid w:val="4FAC595F"/>
    <w:rsid w:val="501626F4"/>
    <w:rsid w:val="510F4989"/>
    <w:rsid w:val="511E47E5"/>
    <w:rsid w:val="538E4F63"/>
    <w:rsid w:val="56F35E44"/>
    <w:rsid w:val="600E331C"/>
    <w:rsid w:val="606E6454"/>
    <w:rsid w:val="60F214DC"/>
    <w:rsid w:val="613715A9"/>
    <w:rsid w:val="621A05DD"/>
    <w:rsid w:val="63375D4F"/>
    <w:rsid w:val="653D51EC"/>
    <w:rsid w:val="691849FB"/>
    <w:rsid w:val="692C61E4"/>
    <w:rsid w:val="6BD22CD0"/>
    <w:rsid w:val="6CD60251"/>
    <w:rsid w:val="6D21370B"/>
    <w:rsid w:val="6E991F7C"/>
    <w:rsid w:val="70704CDB"/>
    <w:rsid w:val="7156514C"/>
    <w:rsid w:val="716544D1"/>
    <w:rsid w:val="727C4434"/>
    <w:rsid w:val="75A76B9E"/>
    <w:rsid w:val="76F82C50"/>
    <w:rsid w:val="7837057F"/>
    <w:rsid w:val="7A6C181D"/>
    <w:rsid w:val="7EE226E7"/>
    <w:rsid w:val="7FFA005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99"/>
    <w:pPr>
      <w:spacing w:line="360" w:lineRule="auto"/>
    </w:pPr>
    <w:rPr>
      <w:lang w:val="zh-CN"/>
    </w:rPr>
  </w:style>
  <w:style w:type="paragraph" w:styleId="3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4">
    <w:name w:val="Document Map"/>
    <w:basedOn w:val="1"/>
    <w:link w:val="20"/>
    <w:semiHidden/>
    <w:unhideWhenUsed/>
    <w:qFormat/>
    <w:uiPriority w:val="99"/>
    <w:rPr>
      <w:rFonts w:ascii="宋体"/>
      <w:kern w:val="0"/>
      <w:sz w:val="18"/>
      <w:szCs w:val="18"/>
      <w:lang w:val="zh-CN"/>
    </w:rPr>
  </w:style>
  <w:style w:type="paragraph" w:styleId="5">
    <w:name w:val="annotation text"/>
    <w:basedOn w:val="1"/>
    <w:link w:val="25"/>
    <w:semiHidden/>
    <w:unhideWhenUsed/>
    <w:qFormat/>
    <w:uiPriority w:val="99"/>
    <w:pPr>
      <w:jc w:val="left"/>
    </w:pPr>
  </w:style>
  <w:style w:type="paragraph" w:styleId="6">
    <w:name w:val="Body Text"/>
    <w:basedOn w:val="1"/>
    <w:qFormat/>
    <w:uiPriority w:val="1"/>
    <w:rPr>
      <w:rFonts w:ascii="宋体" w:hAnsi="宋体" w:eastAsia="宋体" w:cs="宋体"/>
      <w:sz w:val="24"/>
      <w:szCs w:val="24"/>
      <w:lang w:val="zh-CN" w:eastAsia="zh-CN" w:bidi="zh-CN"/>
    </w:rPr>
  </w:style>
  <w:style w:type="paragraph" w:styleId="7">
    <w:name w:val="Balloon Text"/>
    <w:basedOn w:val="1"/>
    <w:link w:val="21"/>
    <w:semiHidden/>
    <w:unhideWhenUsed/>
    <w:qFormat/>
    <w:uiPriority w:val="99"/>
    <w:rPr>
      <w:sz w:val="18"/>
      <w:szCs w:val="18"/>
      <w:lang w:val="zh-CN"/>
    </w:rPr>
  </w:style>
  <w:style w:type="paragraph" w:styleId="8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/>
    </w:rPr>
  </w:style>
  <w:style w:type="paragraph" w:styleId="9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zh-CN"/>
    </w:rPr>
  </w:style>
  <w:style w:type="paragraph" w:styleId="10">
    <w:name w:val="Normal (Web)"/>
    <w:basedOn w:val="1"/>
    <w:semiHidden/>
    <w:unhideWhenUsed/>
    <w:qFormat/>
    <w:uiPriority w:val="99"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paragraph" w:styleId="11">
    <w:name w:val="annotation subject"/>
    <w:basedOn w:val="5"/>
    <w:next w:val="5"/>
    <w:link w:val="26"/>
    <w:semiHidden/>
    <w:unhideWhenUsed/>
    <w:qFormat/>
    <w:uiPriority w:val="99"/>
    <w:rPr>
      <w:b/>
      <w:bCs/>
    </w:rPr>
  </w:style>
  <w:style w:type="table" w:styleId="13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page number"/>
    <w:basedOn w:val="14"/>
    <w:qFormat/>
    <w:uiPriority w:val="0"/>
  </w:style>
  <w:style w:type="character" w:styleId="16">
    <w:name w:val="Hyperlink"/>
    <w:semiHidden/>
    <w:unhideWhenUsed/>
    <w:qFormat/>
    <w:uiPriority w:val="99"/>
    <w:rPr>
      <w:color w:val="000000"/>
      <w:u w:val="none"/>
    </w:rPr>
  </w:style>
  <w:style w:type="character" w:styleId="17">
    <w:name w:val="annotation reference"/>
    <w:semiHidden/>
    <w:unhideWhenUsed/>
    <w:qFormat/>
    <w:uiPriority w:val="99"/>
    <w:rPr>
      <w:sz w:val="21"/>
      <w:szCs w:val="21"/>
    </w:rPr>
  </w:style>
  <w:style w:type="character" w:customStyle="1" w:styleId="18">
    <w:name w:val="页眉 Char"/>
    <w:link w:val="9"/>
    <w:qFormat/>
    <w:uiPriority w:val="99"/>
    <w:rPr>
      <w:sz w:val="18"/>
      <w:szCs w:val="18"/>
    </w:rPr>
  </w:style>
  <w:style w:type="character" w:customStyle="1" w:styleId="19">
    <w:name w:val="页脚 Char"/>
    <w:link w:val="8"/>
    <w:qFormat/>
    <w:uiPriority w:val="99"/>
    <w:rPr>
      <w:sz w:val="18"/>
      <w:szCs w:val="18"/>
    </w:rPr>
  </w:style>
  <w:style w:type="character" w:customStyle="1" w:styleId="20">
    <w:name w:val="文档结构图 Char"/>
    <w:link w:val="4"/>
    <w:semiHidden/>
    <w:qFormat/>
    <w:uiPriority w:val="99"/>
    <w:rPr>
      <w:rFonts w:ascii="宋体" w:hAnsi="Calibri" w:eastAsia="宋体" w:cs="Times New Roman"/>
      <w:sz w:val="18"/>
      <w:szCs w:val="18"/>
    </w:rPr>
  </w:style>
  <w:style w:type="character" w:customStyle="1" w:styleId="21">
    <w:name w:val="批注框文本 Char"/>
    <w:link w:val="7"/>
    <w:semiHidden/>
    <w:qFormat/>
    <w:uiPriority w:val="99"/>
    <w:rPr>
      <w:kern w:val="2"/>
      <w:sz w:val="18"/>
      <w:szCs w:val="18"/>
    </w:rPr>
  </w:style>
  <w:style w:type="paragraph" w:customStyle="1" w:styleId="22">
    <w:name w:val="列出段落1"/>
    <w:basedOn w:val="1"/>
    <w:qFormat/>
    <w:uiPriority w:val="34"/>
    <w:pPr>
      <w:ind w:firstLine="420" w:firstLineChars="200"/>
    </w:pPr>
  </w:style>
  <w:style w:type="paragraph" w:customStyle="1" w:styleId="23">
    <w:name w:val="样式 MM Topic 2 +"/>
    <w:basedOn w:val="1"/>
    <w:qFormat/>
    <w:uiPriority w:val="0"/>
    <w:pPr>
      <w:keepNext/>
      <w:keepLines/>
      <w:spacing w:before="120" w:after="120"/>
      <w:jc w:val="center"/>
      <w:outlineLvl w:val="1"/>
    </w:pPr>
    <w:rPr>
      <w:rFonts w:ascii="宋体" w:hAnsi="宋体"/>
      <w:b/>
      <w:bCs/>
      <w:kern w:val="0"/>
      <w:sz w:val="32"/>
      <w:szCs w:val="32"/>
    </w:rPr>
  </w:style>
  <w:style w:type="character" w:customStyle="1" w:styleId="24">
    <w:name w:val="页脚 字符"/>
    <w:basedOn w:val="14"/>
    <w:qFormat/>
    <w:uiPriority w:val="99"/>
  </w:style>
  <w:style w:type="character" w:customStyle="1" w:styleId="25">
    <w:name w:val="批注文字 Char"/>
    <w:link w:val="5"/>
    <w:semiHidden/>
    <w:qFormat/>
    <w:uiPriority w:val="99"/>
    <w:rPr>
      <w:kern w:val="2"/>
      <w:sz w:val="21"/>
      <w:szCs w:val="22"/>
    </w:rPr>
  </w:style>
  <w:style w:type="character" w:customStyle="1" w:styleId="26">
    <w:name w:val="批注主题 Char"/>
    <w:link w:val="11"/>
    <w:semiHidden/>
    <w:qFormat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2.jpeg"/><Relationship Id="rId13" Type="http://schemas.openxmlformats.org/officeDocument/2006/relationships/theme" Target="theme/theme1.xml"/><Relationship Id="rId12" Type="http://schemas.openxmlformats.org/officeDocument/2006/relationships/footer" Target="footer6.xml"/><Relationship Id="rId11" Type="http://schemas.openxmlformats.org/officeDocument/2006/relationships/footer" Target="footer5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tjtobacco</Company>
  <Pages>6</Pages>
  <Words>1294</Words>
  <Characters>1333</Characters>
  <Lines>20</Lines>
  <Paragraphs>5</Paragraphs>
  <TotalTime>48</TotalTime>
  <ScaleCrop>false</ScaleCrop>
  <LinksUpToDate>false</LinksUpToDate>
  <CharactersWithSpaces>1376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2021-10-27T03:05:00Z</dcterms:created>
  <dc:creator>刘昊</dc:creator>
  <cp:lastModifiedBy> </cp:lastModifiedBy>
  <cp:lastPrinted>2022-10-20T10:15:00Z</cp:lastPrinted>
  <dcterms:modified xsi:type="dcterms:W3CDTF">2022-11-08T07:53:55Z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69112FAA98CB4F8DA619FCC63B7A792A</vt:lpwstr>
  </property>
</Properties>
</file>