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8"/>
        <w:rPr>
          <w:rFonts w:ascii="Times New Roman"/>
          <w:sz w:val="14"/>
        </w:rPr>
      </w:pPr>
    </w:p>
    <w:p>
      <w:pPr>
        <w:pStyle w:val="2"/>
        <w:spacing w:before="38"/>
        <w:ind w:left="1185" w:right="428"/>
        <w:jc w:val="center"/>
        <w:rPr>
          <w:rFonts w:hint="eastAsia" w:ascii="黑体" w:eastAsia="黑体"/>
        </w:rPr>
      </w:pPr>
      <w:r>
        <w:rPr>
          <w:rFonts w:hint="eastAsia" w:ascii="黑体" w:hAnsi="黑体" w:eastAsia="黑体" w:cs="黑体"/>
          <w:b w:val="0"/>
          <w:bCs w:val="0"/>
          <w:lang w:val="en-US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1376045</wp:posOffset>
            </wp:positionH>
            <wp:positionV relativeFrom="paragraph">
              <wp:posOffset>-100330</wp:posOffset>
            </wp:positionV>
            <wp:extent cx="605155" cy="60515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028" cy="605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涡阳皖能能源</w:t>
      </w:r>
      <w:r>
        <w:rPr>
          <w:rFonts w:hint="eastAsia" w:ascii="黑体" w:eastAsia="黑体"/>
          <w:b w:val="0"/>
          <w:bCs w:val="0"/>
        </w:rPr>
        <w:t>有限公</w:t>
      </w:r>
      <w:r>
        <w:rPr>
          <w:rFonts w:hint="eastAsia" w:ascii="黑体" w:eastAsia="黑体"/>
        </w:rPr>
        <w:t>司</w:t>
      </w:r>
    </w:p>
    <w:p>
      <w:pPr>
        <w:spacing w:before="321"/>
        <w:ind w:left="4946" w:right="0" w:firstLine="0"/>
        <w:jc w:val="left"/>
        <w:rPr>
          <w:rFonts w:hint="eastAsia" w:ascii="黑体" w:hAnsi="黑体" w:eastAsia="黑体" w:cs="黑体"/>
          <w:spacing w:val="-2"/>
          <w:sz w:val="28"/>
          <w:szCs w:val="28"/>
        </w:rPr>
      </w:pPr>
      <w: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1200785</wp:posOffset>
                </wp:positionH>
                <wp:positionV relativeFrom="paragraph">
                  <wp:posOffset>510540</wp:posOffset>
                </wp:positionV>
                <wp:extent cx="5200650" cy="0"/>
                <wp:effectExtent l="0" t="9525" r="0" b="9525"/>
                <wp:wrapTopAndBottom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065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94.55pt;margin-top:40.2pt;height:0pt;width:409.5pt;mso-position-horizontal-relative:page;mso-wrap-distance-bottom:0pt;mso-wrap-distance-top:0pt;z-index:-251650048;mso-width-relative:page;mso-height-relative:page;" filled="f" stroked="t" coordsize="21600,21600" o:gfxdata="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9uUzi9QAAAAKAQAA&#10;DwAAAAAAAAABACAAAAAiAAAAZHJzL2Rvd25yZXYueG1sUEsBAhQAFAAAAAgAh07iQD99TKfkAQAA&#10;3AMAAA4AAAAAAAAAAQAgAAAAIwEAAGRycy9lMm9Eb2MueG1sUEsFBgAAAAAGAAYAWQEAAHkFAAAA&#10;AA==&#10;">
                <v:fill on="f" focussize="0,0"/>
                <v:stroke weight="1.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黑体" w:eastAsia="黑体"/>
          <w:spacing w:val="-2"/>
          <w:sz w:val="28"/>
        </w:rPr>
        <w:t>编号：</w:t>
      </w:r>
      <w:r>
        <w:rPr>
          <w:rFonts w:hint="eastAsia" w:ascii="黑体" w:hAnsi="黑体" w:eastAsia="黑体" w:cs="黑体"/>
          <w:spacing w:val="-2"/>
          <w:sz w:val="28"/>
          <w:szCs w:val="28"/>
        </w:rPr>
        <w:t>ANG/GY ZB 10-2022</w:t>
      </w: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28"/>
        </w:rPr>
      </w:pPr>
    </w:p>
    <w:p>
      <w:pPr>
        <w:pStyle w:val="4"/>
        <w:rPr>
          <w:rFonts w:ascii="黑体"/>
          <w:sz w:val="31"/>
        </w:rPr>
      </w:pPr>
    </w:p>
    <w:p>
      <w:pPr>
        <w:spacing w:before="1"/>
        <w:ind w:left="699" w:right="896" w:firstLine="0"/>
        <w:jc w:val="center"/>
        <w:rPr>
          <w:b/>
          <w:sz w:val="44"/>
        </w:rPr>
      </w:pPr>
      <w:r>
        <w:rPr>
          <w:b/>
          <w:sz w:val="44"/>
        </w:rPr>
        <w:t>信息公开管理办法</w:t>
      </w:r>
    </w:p>
    <w:p>
      <w:pPr>
        <w:spacing w:before="216"/>
        <w:ind w:left="699" w:right="896" w:firstLine="0"/>
        <w:jc w:val="center"/>
        <w:rPr>
          <w:b/>
          <w:sz w:val="44"/>
        </w:rPr>
      </w:pPr>
      <w:r>
        <w:rPr>
          <w:b/>
          <w:sz w:val="44"/>
        </w:rPr>
        <w:t>（试行）</w:t>
      </w: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spacing w:before="5"/>
        <w:rPr>
          <w:b/>
          <w:sz w:val="26"/>
        </w:rPr>
      </w:pPr>
    </w:p>
    <w:p>
      <w:pPr>
        <w:tabs>
          <w:tab w:val="left" w:pos="6275"/>
        </w:tabs>
        <w:spacing w:before="61"/>
        <w:ind w:left="117" w:right="0" w:firstLine="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2022-1</w:t>
      </w:r>
      <w:r>
        <w:rPr>
          <w:rFonts w:hint="eastAsia" w:ascii="黑体" w:eastAsia="黑体"/>
          <w:sz w:val="28"/>
          <w:lang w:val="en-US" w:eastAsia="zh-CN"/>
        </w:rPr>
        <w:t>1</w:t>
      </w:r>
      <w:r>
        <w:rPr>
          <w:rFonts w:hint="eastAsia" w:ascii="黑体" w:eastAsia="黑体"/>
          <w:sz w:val="28"/>
        </w:rPr>
        <w:t>-</w:t>
      </w:r>
      <w:r>
        <w:rPr>
          <w:rFonts w:hint="eastAsia" w:ascii="黑体" w:eastAsia="黑体"/>
          <w:sz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</w:rPr>
        <w:t>发布</w:t>
      </w:r>
      <w:r>
        <w:rPr>
          <w:rFonts w:hint="eastAsia" w:ascii="黑体" w:eastAsia="黑体"/>
          <w:sz w:val="28"/>
        </w:rPr>
        <w:tab/>
      </w:r>
      <w:r>
        <w:rPr>
          <w:rFonts w:hint="eastAsia" w:ascii="黑体" w:eastAsia="黑体"/>
          <w:sz w:val="28"/>
        </w:rPr>
        <w:t>2022-1</w:t>
      </w:r>
      <w:r>
        <w:rPr>
          <w:rFonts w:hint="eastAsia" w:ascii="黑体" w:eastAsia="黑体"/>
          <w:sz w:val="28"/>
          <w:lang w:val="en-US" w:eastAsia="zh-CN"/>
        </w:rPr>
        <w:t>1</w:t>
      </w:r>
      <w:r>
        <w:rPr>
          <w:rFonts w:hint="eastAsia" w:ascii="黑体" w:eastAsia="黑体"/>
          <w:sz w:val="28"/>
        </w:rPr>
        <w:t>-</w:t>
      </w:r>
      <w:r>
        <w:rPr>
          <w:rFonts w:hint="eastAsia" w:ascii="黑体" w:eastAsia="黑体"/>
          <w:sz w:val="28"/>
          <w:lang w:val="en-US" w:eastAsia="zh-CN"/>
        </w:rPr>
        <w:t xml:space="preserve"> </w:t>
      </w:r>
      <w:r>
        <w:rPr>
          <w:rFonts w:hint="eastAsia" w:ascii="黑体" w:eastAsia="黑体"/>
          <w:spacing w:val="-1"/>
          <w:sz w:val="28"/>
        </w:rPr>
        <w:t xml:space="preserve"> </w:t>
      </w:r>
      <w:r>
        <w:rPr>
          <w:rFonts w:hint="eastAsia" w:ascii="黑体" w:eastAsia="黑体"/>
          <w:sz w:val="28"/>
        </w:rPr>
        <w:t>实施</w:t>
      </w:r>
    </w:p>
    <w:p>
      <w:pPr>
        <w:pStyle w:val="4"/>
        <w:spacing w:before="11"/>
        <w:rPr>
          <w:rFonts w:ascii="黑体"/>
          <w:sz w:val="17"/>
        </w:rPr>
      </w:pPr>
      <w: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179705</wp:posOffset>
                </wp:positionV>
                <wp:extent cx="5248275" cy="0"/>
                <wp:effectExtent l="0" t="9525" r="9525" b="9525"/>
                <wp:wrapTopAndBottom/>
                <wp:docPr id="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827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90.8pt;margin-top:14.15pt;height:0pt;width:413.25pt;mso-position-horizontal-relative:page;mso-wrap-distance-bottom:0pt;mso-wrap-distance-top:0pt;z-index:-251649024;mso-width-relative:page;mso-height-relative:page;" filled="f" stroked="t" coordsize="21600,21600" o:gfxdata="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hm1A7V&#10;AAAACgEAAA8AAAAAAAAAAQAgAAAAIgAAAGRycy9kb3ducmV2LnhtbFBLAQIUABQAAAAIAIdO4kDY&#10;b0Lj6gEAANwDAAAOAAAAAAAAAAEAIAAAACQBAABkcnMvZTJvRG9jLnhtbFBLBQYAAAAABgAGAFkB&#10;AACABQAAAAA=&#10;">
                <v:fill on="f" focussize="0,0"/>
                <v:stroke weight="1.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tabs>
          <w:tab w:val="left" w:pos="4559"/>
        </w:tabs>
        <w:spacing w:before="94"/>
        <w:ind w:left="359" w:right="0" w:firstLine="0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pacing w:val="-3"/>
          <w:sz w:val="28"/>
          <w:lang w:val="en-US" w:eastAsia="zh-CN"/>
        </w:rPr>
        <w:t>涡阳皖能能源</w:t>
      </w:r>
      <w:r>
        <w:rPr>
          <w:rFonts w:hint="eastAsia" w:ascii="黑体" w:eastAsia="黑体"/>
          <w:spacing w:val="-3"/>
          <w:sz w:val="28"/>
        </w:rPr>
        <w:t>有</w:t>
      </w:r>
      <w:r>
        <w:rPr>
          <w:rFonts w:hint="eastAsia" w:ascii="黑体" w:eastAsia="黑体"/>
          <w:sz w:val="28"/>
        </w:rPr>
        <w:t>限公司</w:t>
      </w:r>
      <w:r>
        <w:rPr>
          <w:rFonts w:hint="eastAsia" w:ascii="黑体" w:eastAsia="黑体"/>
          <w:sz w:val="28"/>
        </w:rPr>
        <w:tab/>
      </w:r>
      <w:r>
        <w:rPr>
          <w:rFonts w:hint="eastAsia" w:ascii="黑体" w:eastAsia="黑体"/>
          <w:sz w:val="28"/>
        </w:rPr>
        <w:t>发布</w:t>
      </w:r>
    </w:p>
    <w:p>
      <w:pPr>
        <w:spacing w:after="0"/>
        <w:jc w:val="center"/>
        <w:rPr>
          <w:rFonts w:hint="eastAsia" w:ascii="黑体" w:eastAsia="黑体"/>
          <w:sz w:val="28"/>
        </w:rPr>
        <w:sectPr>
          <w:footerReference r:id="rId5" w:type="default"/>
          <w:type w:val="continuous"/>
          <w:pgSz w:w="11910" w:h="16840"/>
          <w:pgMar w:top="1400" w:right="1480" w:bottom="280" w:left="1680" w:header="720" w:footer="720" w:gutter="0"/>
          <w:pgNumType w:fmt="decimal" w:start="1"/>
          <w:cols w:space="720" w:num="1"/>
        </w:sectPr>
      </w:pPr>
    </w:p>
    <w:p>
      <w:pPr>
        <w:spacing w:before="46" w:line="247" w:lineRule="auto"/>
        <w:ind w:left="1185" w:right="1376" w:firstLine="0"/>
        <w:jc w:val="center"/>
        <w:rPr>
          <w:rFonts w:hint="eastAsia"/>
          <w:b/>
          <w:w w:val="95"/>
          <w:sz w:val="44"/>
          <w:lang w:val="en-US" w:eastAsia="zh-CN"/>
        </w:rPr>
      </w:pPr>
      <w:r>
        <w:rPr>
          <w:rFonts w:hint="eastAsia"/>
          <w:b/>
          <w:w w:val="95"/>
          <w:sz w:val="44"/>
          <w:lang w:val="en-US" w:eastAsia="zh-CN"/>
        </w:rPr>
        <w:t>涡阳皖能能源有限公司</w:t>
      </w:r>
    </w:p>
    <w:p>
      <w:pPr>
        <w:spacing w:before="46" w:line="247" w:lineRule="auto"/>
        <w:ind w:left="1185" w:right="1376" w:firstLine="0"/>
        <w:jc w:val="center"/>
        <w:rPr>
          <w:b/>
          <w:sz w:val="44"/>
        </w:rPr>
      </w:pPr>
      <w:r>
        <w:rPr>
          <w:b/>
          <w:sz w:val="44"/>
        </w:rPr>
        <w:t>信息公开管理办法（试行）</w:t>
      </w:r>
    </w:p>
    <w:p>
      <w:pPr>
        <w:spacing w:before="395"/>
        <w:ind w:left="695" w:right="896" w:firstLine="0"/>
        <w:jc w:val="center"/>
        <w:rPr>
          <w:b/>
          <w:sz w:val="30"/>
        </w:rPr>
      </w:pPr>
      <w:r>
        <w:rPr>
          <w:b/>
          <w:sz w:val="30"/>
        </w:rPr>
        <w:t>第一章 总 则</w:t>
      </w:r>
    </w:p>
    <w:p>
      <w:pPr>
        <w:pStyle w:val="4"/>
        <w:rPr>
          <w:b/>
          <w:sz w:val="30"/>
        </w:rPr>
      </w:pPr>
    </w:p>
    <w:p>
      <w:pPr>
        <w:pStyle w:val="4"/>
        <w:rPr>
          <w:b/>
          <w:sz w:val="3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17" w:right="310" w:firstLine="482" w:firstLineChars="200"/>
        <w:jc w:val="both"/>
        <w:textAlignment w:val="auto"/>
      </w:pPr>
      <w:r>
        <w:rPr>
          <w:b/>
        </w:rPr>
        <w:t xml:space="preserve">第一条 </w:t>
      </w:r>
      <w:r>
        <w:rPr>
          <w:spacing w:val="-2"/>
        </w:rPr>
        <w:t>为规范</w:t>
      </w:r>
      <w:r>
        <w:rPr>
          <w:rFonts w:hint="eastAsia"/>
          <w:spacing w:val="-2"/>
          <w:lang w:val="en-US" w:eastAsia="zh-CN"/>
        </w:rPr>
        <w:t>涡阳皖能能源有限公司</w:t>
      </w:r>
      <w:r>
        <w:t>（</w:t>
      </w:r>
      <w:r>
        <w:rPr>
          <w:spacing w:val="-15"/>
        </w:rPr>
        <w:t>以下简称“公司”</w:t>
      </w:r>
      <w:r>
        <w:rPr>
          <w:spacing w:val="-75"/>
        </w:rPr>
        <w:t>）</w:t>
      </w:r>
      <w:r>
        <w:rPr>
          <w:spacing w:val="-5"/>
        </w:rPr>
        <w:t>信息公</w:t>
      </w:r>
      <w:r>
        <w:rPr>
          <w:spacing w:val="-10"/>
        </w:rPr>
        <w:t>开工作，提高公司工作透明度，主动接受社会监督，根据</w:t>
      </w:r>
      <w:r>
        <w:rPr>
          <w:rFonts w:ascii="宋体" w:hAnsi="宋体" w:eastAsia="宋体" w:cs="宋体"/>
          <w:spacing w:val="-6"/>
          <w:sz w:val="24"/>
          <w:szCs w:val="24"/>
        </w:rPr>
        <w:t>《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安徽省天然气开发股份有限公司信息公开管理办法（试行）</w:t>
      </w:r>
      <w:r>
        <w:rPr>
          <w:rFonts w:ascii="宋体" w:hAnsi="宋体" w:eastAsia="宋体" w:cs="宋体"/>
          <w:spacing w:val="-8"/>
          <w:sz w:val="24"/>
          <w:szCs w:val="24"/>
        </w:rPr>
        <w:t>》</w:t>
      </w:r>
      <w:r>
        <w:rPr>
          <w:spacing w:val="-10"/>
        </w:rPr>
        <w:t>等文件精神，结</w:t>
      </w:r>
      <w:r>
        <w:t>合公司实际，特制定本办法。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17" w:right="312" w:firstLine="482" w:firstLineChars="200"/>
        <w:jc w:val="both"/>
        <w:textAlignment w:val="auto"/>
      </w:pPr>
      <w:r>
        <w:rPr>
          <w:b/>
        </w:rPr>
        <w:t xml:space="preserve">第二条 </w:t>
      </w:r>
      <w:r>
        <w:t>公司针对不同的信息选择适合的公开方式，包括公司门户网站、微信公众号等。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00" w:lineRule="exact"/>
        <w:ind w:right="0" w:firstLine="502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b/>
          <w:spacing w:val="5"/>
          <w:sz w:val="24"/>
          <w:szCs w:val="24"/>
        </w:rPr>
        <w:t xml:space="preserve">第三条 </w:t>
      </w:r>
      <w:r>
        <w:rPr>
          <w:sz w:val="24"/>
          <w:szCs w:val="24"/>
        </w:rPr>
        <w:t>公司</w:t>
      </w:r>
      <w:r>
        <w:rPr>
          <w:rFonts w:hint="eastAsia"/>
          <w:sz w:val="24"/>
          <w:szCs w:val="24"/>
          <w:lang w:val="en-US" w:eastAsia="zh-CN"/>
        </w:rPr>
        <w:t>综合管理部</w:t>
      </w:r>
      <w:r>
        <w:rPr>
          <w:rFonts w:ascii="宋体" w:hAnsi="宋体" w:eastAsia="宋体" w:cs="宋体"/>
          <w:spacing w:val="-1"/>
          <w:sz w:val="24"/>
          <w:szCs w:val="24"/>
        </w:rPr>
        <w:t>作为信息公开的牵头部门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cs="宋体"/>
          <w:spacing w:val="-8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-1"/>
          <w:sz w:val="24"/>
          <w:szCs w:val="24"/>
        </w:rPr>
        <w:t>负责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制订管理制度及日常工作</w:t>
      </w:r>
      <w:r>
        <w:rPr>
          <w:rFonts w:ascii="宋体" w:hAnsi="宋体" w:eastAsia="宋体" w:cs="宋体"/>
          <w:spacing w:val="-11"/>
          <w:sz w:val="24"/>
          <w:szCs w:val="24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/>
        <w:ind w:firstLine="580" w:firstLineChars="200"/>
        <w:textAlignment w:val="auto"/>
        <w:rPr>
          <w:sz w:val="2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699" w:right="896" w:firstLine="602" w:firstLineChars="200"/>
        <w:jc w:val="center"/>
        <w:textAlignment w:val="auto"/>
        <w:rPr>
          <w:b/>
          <w:sz w:val="30"/>
        </w:rPr>
      </w:pPr>
      <w:r>
        <w:rPr>
          <w:b/>
          <w:sz w:val="30"/>
        </w:rPr>
        <w:t>第二章 信息公开的原则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/>
        <w:ind w:firstLine="743" w:firstLineChars="200"/>
        <w:textAlignment w:val="auto"/>
        <w:rPr>
          <w:b/>
          <w:sz w:val="37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right="0" w:firstLine="482" w:firstLineChars="200"/>
        <w:jc w:val="left"/>
        <w:textAlignment w:val="auto"/>
      </w:pPr>
      <w:r>
        <w:rPr>
          <w:b/>
        </w:rPr>
        <w:t xml:space="preserve">第四条 </w:t>
      </w:r>
      <w:r>
        <w:t>信息公开坚持依法合规、真实准确、及时公开并严格责任的原则。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1" w:line="312" w:lineRule="auto"/>
        <w:ind w:left="0" w:right="0" w:firstLine="480" w:firstLineChars="200"/>
        <w:jc w:val="left"/>
        <w:textAlignment w:val="auto"/>
      </w:pPr>
      <w:r>
        <w:t>（一</w:t>
      </w:r>
      <w:r>
        <w:rPr>
          <w:spacing w:val="-22"/>
        </w:rPr>
        <w:t>）</w:t>
      </w:r>
      <w:r>
        <w:rPr>
          <w:spacing w:val="-8"/>
        </w:rPr>
        <w:t>依法合规。公开的信息必须依法合规，严格遵循法律、法规和相关规</w:t>
      </w:r>
      <w:r>
        <w:rPr>
          <w:spacing w:val="-10"/>
        </w:rPr>
        <w:t>定，依法确定信息公开的内容、方式、范围和程序，严格保护国家秘密和商业秘</w:t>
      </w:r>
      <w:r>
        <w:t>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12" w:lineRule="auto"/>
        <w:ind w:left="0" w:right="0" w:firstLine="480" w:firstLineChars="200"/>
        <w:jc w:val="left"/>
        <w:textAlignment w:val="auto"/>
      </w:pPr>
      <w:r>
        <w:t>（二</w:t>
      </w:r>
      <w:r>
        <w:rPr>
          <w:spacing w:val="-20"/>
        </w:rPr>
        <w:t>）</w:t>
      </w:r>
      <w:r>
        <w:rPr>
          <w:spacing w:val="-8"/>
        </w:rPr>
        <w:t>真实准确。公开的信息应当真实、准确，不得有虚假记载、误导性陈</w:t>
      </w:r>
      <w:r>
        <w:t>述或者重大遗漏。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312" w:lineRule="auto"/>
        <w:ind w:left="0" w:right="0" w:firstLine="480" w:firstLineChars="200"/>
        <w:jc w:val="left"/>
        <w:textAlignment w:val="auto"/>
      </w:pPr>
      <w:r>
        <w:t>（三</w:t>
      </w:r>
      <w:r>
        <w:rPr>
          <w:spacing w:val="-22"/>
        </w:rPr>
        <w:t>）</w:t>
      </w:r>
      <w:r>
        <w:rPr>
          <w:spacing w:val="-8"/>
        </w:rPr>
        <w:t>及时公开。应当公开的信息应采取适当方式及时公开，不得隐瞒、拖</w:t>
      </w:r>
      <w:r>
        <w:t>延或不公开。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480" w:firstLineChars="200"/>
        <w:jc w:val="left"/>
        <w:textAlignment w:val="auto"/>
      </w:pPr>
      <w:r>
        <w:t>（四</w:t>
      </w:r>
      <w:r>
        <w:rPr>
          <w:spacing w:val="-20"/>
        </w:rPr>
        <w:t>）</w:t>
      </w:r>
      <w:r>
        <w:rPr>
          <w:spacing w:val="-8"/>
        </w:rPr>
        <w:t>严格责任。公司相关单位按照“谁形成谁公开，谁公开谁负责”的原</w:t>
      </w:r>
      <w:r>
        <w:t>则，对提供的公开信息负责。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80" w:firstLineChars="200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/>
        <w:ind w:firstLine="580" w:firstLineChars="200"/>
        <w:textAlignment w:val="auto"/>
        <w:rPr>
          <w:sz w:val="29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699" w:firstLine="602" w:firstLineChars="200"/>
        <w:textAlignment w:val="auto"/>
      </w:pPr>
      <w:r>
        <w:t>信息公开的内容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6"/>
        <w:ind w:left="0" w:right="0" w:firstLine="482" w:firstLineChars="200"/>
        <w:jc w:val="left"/>
        <w:textAlignment w:val="auto"/>
        <w:rPr>
          <w:sz w:val="24"/>
        </w:rPr>
      </w:pPr>
      <w:r>
        <w:rPr>
          <w:b/>
          <w:sz w:val="24"/>
        </w:rPr>
        <w:t xml:space="preserve">第五条 </w:t>
      </w:r>
      <w:r>
        <w:rPr>
          <w:sz w:val="24"/>
        </w:rPr>
        <w:t>信息公开的内容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3" w:line="312" w:lineRule="auto"/>
        <w:ind w:left="0" w:right="0" w:firstLine="480" w:firstLineChars="200"/>
        <w:textAlignment w:val="auto"/>
      </w:pPr>
      <w:r>
        <w:t>（一</w:t>
      </w:r>
      <w:r>
        <w:rPr>
          <w:spacing w:val="-20"/>
        </w:rPr>
        <w:t>）</w:t>
      </w:r>
      <w:r>
        <w:rPr>
          <w:spacing w:val="-8"/>
        </w:rPr>
        <w:t>企业信息：主要包括企业简介、组织架构、高管人员、工商注册登记</w:t>
      </w:r>
      <w:r>
        <w:t>等企业基本信息；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3" w:line="312" w:lineRule="auto"/>
        <w:ind w:left="0" w:right="0" w:firstLine="480" w:firstLineChars="200"/>
        <w:textAlignment w:val="auto"/>
      </w:pPr>
      <w:r>
        <w:t>（</w:t>
      </w:r>
      <w:r>
        <w:rPr>
          <w:rFonts w:hint="eastAsia"/>
          <w:lang w:val="en-US" w:eastAsia="zh-CN"/>
        </w:rPr>
        <w:t>二</w:t>
      </w:r>
      <w:r>
        <w:t>）其他依照法律法规规定应当主动公开的信息。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3" w:line="312" w:lineRule="auto"/>
        <w:ind w:left="0" w:right="0" w:firstLine="482" w:firstLineChars="200"/>
        <w:textAlignment w:val="auto"/>
      </w:pPr>
      <w:r>
        <w:rPr>
          <w:b/>
        </w:rPr>
        <w:t xml:space="preserve">第六条 </w:t>
      </w:r>
      <w:r>
        <w:t>不予公开的信息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07" w:lineRule="exact"/>
        <w:ind w:left="0" w:right="0" w:firstLine="480" w:firstLineChars="200"/>
        <w:textAlignment w:val="auto"/>
      </w:pPr>
      <w:r>
        <w:t>（一）涉及国家秘密的信息，涉及商业秘密、个人隐私的信息。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4"/>
        <w:ind w:left="0" w:right="0" w:firstLine="480" w:firstLineChars="200"/>
        <w:textAlignment w:val="auto"/>
      </w:pPr>
      <w:r>
        <w:t>（二）公开后可能会影响检查、调查取证、审议等执法活动的信息。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3" w:line="312" w:lineRule="auto"/>
        <w:ind w:left="0" w:right="0" w:firstLine="480" w:firstLineChars="200"/>
        <w:textAlignment w:val="auto"/>
      </w:pPr>
      <w:r>
        <w:t>（三</w:t>
      </w:r>
      <w:r>
        <w:rPr>
          <w:spacing w:val="-46"/>
        </w:rPr>
        <w:t>）</w:t>
      </w:r>
      <w:r>
        <w:rPr>
          <w:spacing w:val="-4"/>
        </w:rPr>
        <w:t>公司认定的可能对他人隐私和名誉构成侵害、对相关人员合法权益造</w:t>
      </w:r>
      <w:r>
        <w:t>成损害、对企业及社会的正常秩序带来影响的信息。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07" w:lineRule="exact"/>
        <w:ind w:left="0" w:firstLine="480" w:firstLineChars="200"/>
        <w:textAlignment w:val="auto"/>
      </w:pPr>
      <w:r>
        <w:t>（四）其他法律、行政法规规定不予公开的信息。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80" w:firstLineChars="200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/>
        <w:ind w:firstLine="480" w:firstLineChars="200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696" w:firstLine="602" w:firstLineChars="200"/>
        <w:textAlignment w:val="auto"/>
      </w:pPr>
      <w:r>
        <w:t>第四章 审批流程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/>
        <w:ind w:firstLine="743" w:firstLineChars="200"/>
        <w:textAlignment w:val="auto"/>
        <w:rPr>
          <w:b/>
          <w:sz w:val="37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17" w:right="310" w:firstLine="482" w:firstLineChars="200"/>
        <w:textAlignment w:val="auto"/>
      </w:pPr>
      <w:r>
        <w:rPr>
          <w:b/>
        </w:rPr>
        <w:t xml:space="preserve">第七条 </w:t>
      </w:r>
      <w:r>
        <w:t>需采用公司门户网站、微信公众号形式公开的信息，参照《安徽省天然气开发股份有限公司网站信息发布管理办法》执行。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17" w:right="310" w:firstLine="482" w:firstLineChars="200"/>
        <w:textAlignment w:val="auto"/>
      </w:pPr>
      <w:r>
        <w:rPr>
          <w:b/>
        </w:rPr>
        <w:t xml:space="preserve">第八条 </w:t>
      </w:r>
      <w:r>
        <w:t>需采用其他形式公开的信息，经相关部门负责人、分管领导审核同意，提交公司主要领导审批后方可公开。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80" w:firstLineChars="200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/>
        <w:ind w:firstLine="580" w:firstLineChars="200"/>
        <w:textAlignment w:val="auto"/>
        <w:rPr>
          <w:sz w:val="29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696" w:firstLine="602" w:firstLineChars="200"/>
        <w:textAlignment w:val="auto"/>
      </w:pPr>
      <w:r>
        <w:t>第五章 保密审查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743" w:firstLineChars="200"/>
        <w:textAlignment w:val="auto"/>
        <w:rPr>
          <w:b/>
          <w:sz w:val="37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12" w:lineRule="auto"/>
        <w:ind w:left="117" w:right="310" w:firstLine="502" w:firstLineChars="200"/>
        <w:jc w:val="both"/>
        <w:textAlignment w:val="auto"/>
      </w:pPr>
      <w:r>
        <w:rPr>
          <w:b/>
          <w:spacing w:val="5"/>
        </w:rPr>
        <w:t xml:space="preserve">第九条 </w:t>
      </w:r>
      <w:r>
        <w:rPr>
          <w:spacing w:val="-1"/>
        </w:rPr>
        <w:t>公司在公开信息前，应当依照《中华人民共和国保守国家秘密法》</w:t>
      </w:r>
      <w:r>
        <w:rPr>
          <w:spacing w:val="-9"/>
        </w:rPr>
        <w:t>以及其他法律、法规的规定，对拟公开信息进行保密审查，对信息不能确定是否</w:t>
      </w:r>
      <w:r>
        <w:t>涉密时，应当报公司</w:t>
      </w:r>
      <w:r>
        <w:rPr>
          <w:rFonts w:hint="eastAsia"/>
          <w:lang w:val="en-US" w:eastAsia="zh-CN"/>
        </w:rPr>
        <w:t>综合管理部</w:t>
      </w:r>
      <w:r>
        <w:t>确定。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2" w:line="312" w:lineRule="auto"/>
        <w:ind w:left="117" w:right="105" w:firstLine="478" w:firstLineChars="200"/>
        <w:textAlignment w:val="auto"/>
      </w:pPr>
      <w:r>
        <w:rPr>
          <w:b/>
          <w:spacing w:val="-1"/>
        </w:rPr>
        <w:t xml:space="preserve">第十条 </w:t>
      </w:r>
      <w:r>
        <w:rPr>
          <w:spacing w:val="-1"/>
        </w:rPr>
        <w:t>公司</w:t>
      </w:r>
      <w:r>
        <w:rPr>
          <w:rFonts w:hint="eastAsia"/>
          <w:spacing w:val="-1"/>
          <w:lang w:val="en-US" w:eastAsia="zh-CN"/>
        </w:rPr>
        <w:t>总额和管理部</w:t>
      </w:r>
      <w:r>
        <w:rPr>
          <w:spacing w:val="-1"/>
        </w:rPr>
        <w:t xml:space="preserve">负责指导各部门对拟公开信息进行保密审查， </w:t>
      </w:r>
      <w:r>
        <w:t>督促检查信息公开工作中的保密责任落实情况。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80" w:firstLineChars="200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/>
        <w:ind w:firstLine="580" w:firstLineChars="200"/>
        <w:textAlignment w:val="auto"/>
        <w:rPr>
          <w:sz w:val="29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94" w:firstLineChars="200"/>
        <w:textAlignment w:val="auto"/>
      </w:pPr>
      <w:r>
        <w:rPr>
          <w:spacing w:val="-2"/>
        </w:rPr>
        <w:t>第六章 附 则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/>
        <w:ind w:left="0" w:right="0" w:firstLine="743" w:firstLineChars="200"/>
        <w:textAlignment w:val="auto"/>
        <w:rPr>
          <w:b/>
          <w:sz w:val="37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482" w:firstLineChars="200"/>
        <w:textAlignment w:val="auto"/>
      </w:pPr>
      <w:r>
        <w:rPr>
          <w:b/>
        </w:rPr>
        <w:t xml:space="preserve">第十一条 </w:t>
      </w:r>
      <w:r>
        <w:rPr>
          <w:rFonts w:ascii="宋体" w:hAnsi="宋体" w:eastAsia="宋体" w:cs="宋体"/>
          <w:spacing w:val="-3"/>
          <w:sz w:val="24"/>
          <w:szCs w:val="24"/>
        </w:rPr>
        <w:t>本办法由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综合管理部</w:t>
      </w:r>
      <w:r>
        <w:rPr>
          <w:rFonts w:ascii="宋体" w:hAnsi="宋体" w:eastAsia="宋体" w:cs="宋体"/>
          <w:spacing w:val="-3"/>
          <w:sz w:val="24"/>
          <w:szCs w:val="24"/>
        </w:rPr>
        <w:t>负责解释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7" w:lineRule="exact"/>
        <w:ind w:left="0" w:right="0" w:firstLine="482" w:firstLineChars="200"/>
        <w:jc w:val="left"/>
        <w:textAlignment w:val="auto"/>
        <w:rPr>
          <w:sz w:val="24"/>
        </w:rPr>
      </w:pPr>
      <w:r>
        <w:rPr>
          <w:b/>
          <w:sz w:val="24"/>
        </w:rPr>
        <w:t xml:space="preserve">第十二条 </w:t>
      </w:r>
      <w:r>
        <w:rPr>
          <w:sz w:val="24"/>
        </w:rPr>
        <w:t>本办法自印发之日起施行。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312" w:lineRule="auto"/>
        <w:ind w:left="0" w:right="0" w:firstLine="440" w:firstLineChars="200"/>
        <w:jc w:val="both"/>
        <w:textAlignment w:val="auto"/>
        <w:sectPr>
          <w:headerReference r:id="rId6" w:type="default"/>
          <w:footerReference r:id="rId7" w:type="default"/>
          <w:pgSz w:w="11910" w:h="16840"/>
          <w:pgMar w:top="1400" w:right="1480" w:bottom="1440" w:left="1680" w:header="852" w:footer="1253" w:gutter="0"/>
          <w:pgNumType w:fmt="decimal"/>
          <w:cols w:space="720" w:num="1"/>
        </w:sectPr>
      </w:pPr>
    </w:p>
    <w:p>
      <w:pPr>
        <w:pStyle w:val="4"/>
        <w:rPr>
          <w:sz w:val="20"/>
        </w:rPr>
      </w:pPr>
    </w:p>
    <w:p>
      <w:pPr>
        <w:pStyle w:val="4"/>
        <w:spacing w:before="12"/>
        <w:rPr>
          <w:sz w:val="27"/>
        </w:rPr>
      </w:pPr>
    </w:p>
    <w:p>
      <w:pPr>
        <w:spacing w:before="62"/>
        <w:ind w:left="100" w:right="0" w:firstLine="0"/>
        <w:jc w:val="left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附件一：</w:t>
      </w:r>
    </w:p>
    <w:p>
      <w:pPr>
        <w:pStyle w:val="2"/>
        <w:ind w:left="0" w:leftChars="0" w:firstLine="2200" w:firstLineChars="500"/>
      </w:pPr>
      <w:r>
        <w:rPr>
          <w:rFonts w:hint="eastAsia"/>
          <w:lang w:val="en-US" w:eastAsia="zh-CN"/>
        </w:rPr>
        <w:t>涡阳皖能能源有限公司</w:t>
      </w:r>
      <w:r>
        <w:t>信息公开目录更新维护责任分工表</w:t>
      </w:r>
    </w:p>
    <w:tbl>
      <w:tblPr>
        <w:tblStyle w:val="9"/>
        <w:tblpPr w:leftFromText="180" w:rightFromText="180" w:vertAnchor="page" w:horzAnchor="page" w:tblpX="2703" w:tblpY="3437"/>
        <w:tblOverlap w:val="never"/>
        <w:tblW w:w="1266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1"/>
        <w:gridCol w:w="4051"/>
        <w:gridCol w:w="2516"/>
        <w:gridCol w:w="38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818" w:type="dxa"/>
            <w:gridSpan w:val="3"/>
            <w:vAlign w:val="top"/>
          </w:tcPr>
          <w:p>
            <w:pPr>
              <w:spacing w:before="110" w:line="204" w:lineRule="auto"/>
              <w:ind w:firstLine="393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栏目名称</w:t>
            </w:r>
          </w:p>
        </w:tc>
        <w:tc>
          <w:tcPr>
            <w:tcW w:w="3851" w:type="dxa"/>
            <w:vMerge w:val="restart"/>
            <w:tcBorders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01" w:line="204" w:lineRule="auto"/>
              <w:ind w:firstLine="145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责任单位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Align w:val="top"/>
          </w:tcPr>
          <w:p>
            <w:pPr>
              <w:spacing w:before="111" w:line="204" w:lineRule="auto"/>
              <w:ind w:firstLine="65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一级栏目</w:t>
            </w:r>
          </w:p>
        </w:tc>
        <w:tc>
          <w:tcPr>
            <w:tcW w:w="4051" w:type="dxa"/>
            <w:vAlign w:val="top"/>
          </w:tcPr>
          <w:p>
            <w:pPr>
              <w:spacing w:before="111" w:line="204" w:lineRule="auto"/>
              <w:ind w:firstLine="155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二级栏目</w:t>
            </w:r>
          </w:p>
        </w:tc>
        <w:tc>
          <w:tcPr>
            <w:tcW w:w="2516" w:type="dxa"/>
            <w:vAlign w:val="top"/>
          </w:tcPr>
          <w:p>
            <w:pPr>
              <w:spacing w:before="111" w:line="204" w:lineRule="auto"/>
              <w:ind w:firstLine="78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三级栏目</w:t>
            </w:r>
          </w:p>
        </w:tc>
        <w:tc>
          <w:tcPr>
            <w:tcW w:w="3851" w:type="dxa"/>
            <w:vMerge w:val="continue"/>
            <w:tcBorders>
              <w:top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restart"/>
            <w:tcBorders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82" w:line="204" w:lineRule="auto"/>
              <w:ind w:firstLine="65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企业信息</w:t>
            </w:r>
          </w:p>
        </w:tc>
        <w:tc>
          <w:tcPr>
            <w:tcW w:w="4051" w:type="dxa"/>
            <w:vAlign w:val="top"/>
          </w:tcPr>
          <w:p>
            <w:pPr>
              <w:spacing w:before="110" w:line="204" w:lineRule="auto"/>
              <w:ind w:firstLine="155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企业简介</w:t>
            </w:r>
          </w:p>
        </w:tc>
        <w:tc>
          <w:tcPr>
            <w:tcW w:w="2516" w:type="dxa"/>
            <w:vAlign w:val="top"/>
          </w:tcPr>
          <w:p>
            <w:pPr>
              <w:spacing w:before="110" w:line="204" w:lineRule="auto"/>
              <w:ind w:firstLine="120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/</w:t>
            </w:r>
          </w:p>
        </w:tc>
        <w:tc>
          <w:tcPr>
            <w:tcW w:w="3851" w:type="dxa"/>
            <w:vMerge w:val="restart"/>
            <w:vAlign w:val="top"/>
          </w:tcPr>
          <w:p>
            <w:pPr>
              <w:spacing w:before="110" w:line="204" w:lineRule="auto"/>
              <w:ind w:firstLine="1211"/>
              <w:jc w:val="left"/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  <w:p>
            <w:pPr>
              <w:spacing w:before="110" w:line="204" w:lineRule="auto"/>
              <w:ind w:firstLine="1211"/>
              <w:jc w:val="left"/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  <w:p>
            <w:pPr>
              <w:spacing w:before="110" w:line="204" w:lineRule="auto"/>
              <w:ind w:firstLine="1211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综合管理部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4051" w:type="dxa"/>
            <w:vMerge w:val="restart"/>
            <w:tcBorders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01" w:line="204" w:lineRule="auto"/>
              <w:ind w:firstLine="15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机构领导</w:t>
            </w:r>
          </w:p>
        </w:tc>
        <w:tc>
          <w:tcPr>
            <w:tcW w:w="2516" w:type="dxa"/>
            <w:vAlign w:val="top"/>
          </w:tcPr>
          <w:p>
            <w:pPr>
              <w:spacing w:before="109" w:line="204" w:lineRule="auto"/>
              <w:ind w:firstLine="78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机构领导</w:t>
            </w:r>
          </w:p>
        </w:tc>
        <w:tc>
          <w:tcPr>
            <w:tcW w:w="3851" w:type="dxa"/>
            <w:vMerge w:val="continue"/>
            <w:vAlign w:val="top"/>
          </w:tcPr>
          <w:p>
            <w:pPr>
              <w:spacing w:before="101" w:line="204" w:lineRule="auto"/>
              <w:ind w:firstLine="49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4051" w:type="dxa"/>
            <w:vMerge w:val="continue"/>
            <w:tcBorders>
              <w:top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2516" w:type="dxa"/>
            <w:vAlign w:val="top"/>
          </w:tcPr>
          <w:p>
            <w:pPr>
              <w:spacing w:before="111" w:line="204" w:lineRule="auto"/>
              <w:ind w:firstLine="78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组织机构</w:t>
            </w:r>
          </w:p>
        </w:tc>
        <w:tc>
          <w:tcPr>
            <w:tcW w:w="3851" w:type="dxa"/>
            <w:vMerge w:val="continue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continue"/>
            <w:tcBorders>
              <w:top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4051" w:type="dxa"/>
            <w:vAlign w:val="top"/>
          </w:tcPr>
          <w:p>
            <w:pPr>
              <w:spacing w:before="110" w:line="204" w:lineRule="auto"/>
              <w:ind w:firstLine="107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工商注册基本信息</w:t>
            </w:r>
          </w:p>
        </w:tc>
        <w:tc>
          <w:tcPr>
            <w:tcW w:w="2516" w:type="dxa"/>
            <w:vAlign w:val="top"/>
          </w:tcPr>
          <w:p>
            <w:pPr>
              <w:spacing w:before="110" w:line="204" w:lineRule="auto"/>
              <w:ind w:firstLine="120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/</w:t>
            </w:r>
          </w:p>
        </w:tc>
        <w:tc>
          <w:tcPr>
            <w:tcW w:w="3851" w:type="dxa"/>
            <w:vMerge w:val="continue"/>
            <w:vAlign w:val="top"/>
          </w:tcPr>
          <w:p>
            <w:pPr>
              <w:spacing w:before="110" w:line="204" w:lineRule="auto"/>
              <w:ind w:firstLine="121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4"/>
        <w:spacing w:before="6"/>
        <w:rPr>
          <w:lang w:val="zh-CN" w:eastAsia="zh-CN"/>
        </w:rPr>
      </w:pPr>
    </w:p>
    <w:p>
      <w:pPr>
        <w:tabs>
          <w:tab w:val="left" w:pos="1264"/>
        </w:tabs>
        <w:bidi w:val="0"/>
        <w:jc w:val="left"/>
      </w:pPr>
      <w:r>
        <w:rPr>
          <w:rFonts w:hint="eastAsia"/>
          <w:lang w:val="zh-CN" w:eastAsia="zh-CN"/>
        </w:rPr>
        <w:tab/>
      </w:r>
    </w:p>
    <w:sectPr>
      <w:headerReference r:id="rId8" w:type="default"/>
      <w:footerReference r:id="rId9" w:type="default"/>
      <w:pgSz w:w="16840" w:h="11910" w:orient="landscape"/>
      <w:pgMar w:top="1300" w:right="1960" w:bottom="1160" w:left="1340" w:header="852" w:footer="97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Ii43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ZQiLj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7475" cy="158115"/>
              <wp:effectExtent l="0" t="0" r="0" b="0"/>
              <wp:wrapNone/>
              <wp:docPr id="9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7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49" w:lineRule="exact"/>
                            <w:ind w:left="40" w:right="0" w:firstLine="0"/>
                            <w:jc w:val="left"/>
                            <w:rPr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2.45pt;width:9.25pt;mso-position-horizontal:center;mso-position-horizontal-relative:margin;z-index:251663360;mso-width-relative:page;mso-height-relative:page;" filled="f" stroked="f" coordsize="21600,21600" o:gfxdata="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YxkdI9QAAAADAQAADwAAAAAAAAABACAAAAAiAAAAZHJzL2Rvd25yZXYueG1sUEsBAhQAFAAA&#10;AAgAh07iQDkviBK6AQAAcQMAAA4AAAAAAAAAAQAgAAAAIw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49" w:lineRule="exact"/>
                      <w:ind w:left="40" w:right="0" w:firstLine="0"/>
                      <w:jc w:val="left"/>
                      <w:rPr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9220" cy="139700"/>
              <wp:effectExtent l="0" t="0" r="0" b="0"/>
              <wp:wrapNone/>
              <wp:docPr id="13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03" w:lineRule="exact"/>
                            <w:ind w:left="40" w:right="0" w:firstLine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1pt;width:8.6pt;mso-position-horizontal:center;mso-position-horizontal-relative:margin;z-index:251665408;mso-width-relative:page;mso-height-relative:page;" filled="f" stroked="f" coordsize="21600,21600" o:gfxdata="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FZEDqLTAAAAAwEAAA8AAAAAAAAAAQAgAAAAIgAAAGRycy9kb3ducmV2LnhtbFBLAQIUABQAAAAI&#10;AIdO4kCOY/+uuQEAAHIDAAAOAAAAAAAAAAEAIAAAACI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03" w:lineRule="exact"/>
                      <w:ind w:left="40" w:right="0" w:firstLine="0"/>
                      <w:jc w:val="left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1282700</wp:posOffset>
              </wp:positionH>
              <wp:positionV relativeFrom="page">
                <wp:posOffset>633730</wp:posOffset>
              </wp:positionV>
              <wp:extent cx="557530" cy="158115"/>
              <wp:effectExtent l="0" t="0" r="0" b="0"/>
              <wp:wrapNone/>
              <wp:docPr id="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753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49" w:lineRule="exact"/>
                            <w:ind w:left="20" w:right="0" w:firstLine="0"/>
                            <w:jc w:val="left"/>
                            <w:rPr>
                              <w:rFonts w:hint="default" w:eastAsia="宋体"/>
                              <w:sz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lang w:val="en-US" w:eastAsia="zh-CN"/>
                            </w:rPr>
                            <w:t>涡阳皖能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101pt;margin-top:49.9pt;height:12.45pt;width:43.9pt;mso-position-horizontal-relative:page;mso-position-vertical-relative:page;z-index:-251655168;mso-width-relative:page;mso-height-relative:page;" filled="f" stroked="f" coordsize="21600,21600" o:gfxdata="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Olx/LYAAAACgEAAA8AAAAAAAAAAQAgAAAAIgAAAGRycy9kb3ducmV2LnhtbFBLAQIU&#10;ABQAAAAIAIdO4kADDPP+ugEAAHEDAAAOAAAAAAAAAAEAIAAAACc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49" w:lineRule="exact"/>
                      <w:ind w:left="20" w:right="0" w:firstLine="0"/>
                      <w:jc w:val="left"/>
                      <w:rPr>
                        <w:rFonts w:hint="default" w:eastAsia="宋体"/>
                        <w:sz w:val="21"/>
                        <w:lang w:val="en-US" w:eastAsia="zh-CN"/>
                      </w:rPr>
                    </w:pPr>
                    <w:r>
                      <w:rPr>
                        <w:rFonts w:hint="eastAsia"/>
                        <w:sz w:val="21"/>
                        <w:lang w:val="en-US" w:eastAsia="zh-CN"/>
                      </w:rPr>
                      <w:t>涡阳皖能</w:t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1141095</wp:posOffset>
          </wp:positionH>
          <wp:positionV relativeFrom="page">
            <wp:posOffset>541020</wp:posOffset>
          </wp:positionV>
          <wp:extent cx="231775" cy="220980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1647" cy="2209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1140460</wp:posOffset>
              </wp:positionH>
              <wp:positionV relativeFrom="page">
                <wp:posOffset>816610</wp:posOffset>
              </wp:positionV>
              <wp:extent cx="5278120" cy="0"/>
              <wp:effectExtent l="0" t="0" r="0" b="0"/>
              <wp:wrapNone/>
              <wp:docPr id="6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8120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89.8pt;margin-top:64.3pt;height:0pt;width:415.6pt;mso-position-horizontal-relative:page;mso-position-vertical-relative:page;z-index:-251656192;mso-width-relative:page;mso-height-relative:page;" filled="f" stroked="t" coordsize="21600,21600" o:gfxdata="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awTqfUAAAA&#10;DAEAAA8AAAAAAAAAAQAgAAAAIgAAAGRycy9kb3ducmV2LnhtbFBLAQIUABQAAAAIAIdO4kAeLipi&#10;6AEAANsDAAAOAAAAAAAAAAEAIAAAACMBAABkcnMvZTJvRG9jLnhtbFBLBQYAAAAABgAGAFkBAAB9&#10;BQAAAAA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5293360</wp:posOffset>
              </wp:positionH>
              <wp:positionV relativeFrom="page">
                <wp:posOffset>633730</wp:posOffset>
              </wp:positionV>
              <wp:extent cx="1090930" cy="158115"/>
              <wp:effectExtent l="0" t="0" r="0" b="0"/>
              <wp:wrapNone/>
              <wp:docPr id="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93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49" w:lineRule="exact"/>
                            <w:ind w:left="20" w:right="0" w:firstLine="0"/>
                            <w:jc w:val="left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信息公开管理办法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16.8pt;margin-top:49.9pt;height:12.45pt;width:85.9pt;mso-position-horizontal-relative:page;mso-position-vertical-relative:page;z-index:-251654144;mso-width-relative:page;mso-height-relative:page;" filled="f" stroked="f" coordsize="21600,21600" o:gfxdata="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wT9as9oAAAALAQAADwAAAAAAAAABACAAAAAiAAAAZHJzL2Rvd25yZXYueG1sUEsB&#10;AhQAFAAAAAgAh07iQPyATDy6AQAAcg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49" w:lineRule="exact"/>
                      <w:ind w:left="2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信息公开管理办法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8615680</wp:posOffset>
              </wp:positionH>
              <wp:positionV relativeFrom="page">
                <wp:posOffset>641350</wp:posOffset>
              </wp:positionV>
              <wp:extent cx="1090930" cy="158115"/>
              <wp:effectExtent l="0" t="0" r="0" b="0"/>
              <wp:wrapNone/>
              <wp:docPr id="1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93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49" w:lineRule="exact"/>
                            <w:ind w:right="0"/>
                            <w:jc w:val="left"/>
                            <w:rPr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678.4pt;margin-top:50.5pt;height:12.45pt;width:85.9pt;mso-position-horizontal-relative:page;mso-position-vertical-relative:page;z-index:-251652096;mso-width-relative:page;mso-height-relative:page;" filled="f" stroked="f" coordsize="21600,21600" o:gfxdata="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uc5ul2gAAAA0BAAAPAAAAAAAAAAEAIAAAACIAAABkcnMvZG93bnJldi54bWxQSwEC&#10;FAAUAAAACACHTuJAGYJtnrkBAABz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49" w:lineRule="exact"/>
                      <w:ind w:right="0"/>
                      <w:jc w:val="left"/>
                      <w:rPr>
                        <w:sz w:val="21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5FDD7"/>
    <w:multiLevelType w:val="singleLevel"/>
    <w:tmpl w:val="98A5FDD7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1ZDQ0ZTNjOWFmMGEwN2E0NzU0ODBjOWI4YTI0MTcifQ=="/>
  </w:docVars>
  <w:rsids>
    <w:rsidRoot w:val="00000000"/>
    <w:rsid w:val="24CD76F9"/>
    <w:rsid w:val="461D3BE5"/>
    <w:rsid w:val="46E70F51"/>
    <w:rsid w:val="4E83551F"/>
    <w:rsid w:val="731A215E"/>
    <w:rsid w:val="7F345E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0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695" w:right="896"/>
      <w:jc w:val="center"/>
      <w:outlineLvl w:val="2"/>
    </w:pPr>
    <w:rPr>
      <w:rFonts w:ascii="宋体" w:hAnsi="宋体" w:eastAsia="宋体" w:cs="宋体"/>
      <w:b/>
      <w:bCs/>
      <w:sz w:val="30"/>
      <w:szCs w:val="30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rPr>
      <w:lang w:val="zh-CN" w:eastAsia="zh-CN" w:bidi="zh-CN"/>
    </w:rPr>
  </w:style>
  <w:style w:type="paragraph" w:customStyle="1" w:styleId="11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2022-11-05T07:32:00Z</dcterms:created>
  <dc:creator>刘昊</dc:creator>
  <cp:lastModifiedBy>1</cp:lastModifiedBy>
  <dcterms:modified xsi:type="dcterms:W3CDTF">2022-11-08T09:02:26Z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2022-11-05T00:00:00Z</vt:filetime>
  </property>
  <property fmtid="{D5CDD505-2E9C-101B-9397-08002B2CF9AE}" pid="5" name="KSOProductBuildVer">
    <vt:lpwstr>2052-11.1.0.12598</vt:lpwstr>
  </property>
  <property fmtid="{D5CDD505-2E9C-101B-9397-08002B2CF9AE}" pid="6" name="ICV">
    <vt:lpwstr>0CC35F208C34402898BC9175E51A1422</vt:lpwstr>
  </property>
</Properties>
</file>