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Cs w:val="21"/>
        </w:rPr>
      </w:pPr>
      <w:r>
        <w:rPr>
          <w:szCs w:val="21"/>
        </w:rPr>
        <w:drawing>
          <wp:inline distT="0" distB="0" distL="114300" distR="114300">
            <wp:extent cx="542925" cy="542925"/>
            <wp:effectExtent l="0" t="0" r="9525" b="9525"/>
            <wp:docPr id="4" name="图片 1" descr="wps1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wps1E6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9FBFA"/>
                        </a:clrFrom>
                        <a:clrTo>
                          <a:srgbClr val="F9FBFA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　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 w:ascii="黑体" w:eastAsia="黑体"/>
          <w:sz w:val="44"/>
          <w:szCs w:val="44"/>
        </w:rPr>
        <w:t>宿州皖能天然气有限公司</w:t>
      </w:r>
    </w:p>
    <w:p>
      <w:pPr>
        <w:pBdr>
          <w:bottom w:val="single" w:color="auto" w:sz="12" w:space="0"/>
        </w:pBdr>
        <w:spacing w:line="500" w:lineRule="exact"/>
        <w:rPr>
          <w:rFonts w:hint="eastAsia" w:ascii="黑体" w:eastAsia="黑体"/>
          <w:sz w:val="28"/>
          <w:szCs w:val="28"/>
          <w:lang w:eastAsia="zh-CN"/>
        </w:rPr>
      </w:pPr>
      <w:r>
        <w:t xml:space="preserve">                                   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编号</w:t>
      </w:r>
      <w:r>
        <w:rPr>
          <w:rFonts w:ascii="黑体" w:hAnsi="黑体" w:eastAsia="黑体"/>
          <w:sz w:val="28"/>
          <w:szCs w:val="28"/>
        </w:rPr>
        <w:t xml:space="preserve">: </w:t>
      </w:r>
      <w:r>
        <w:rPr>
          <w:rFonts w:hint="eastAsia" w:ascii="黑体" w:eastAsia="黑体"/>
          <w:sz w:val="28"/>
          <w:szCs w:val="28"/>
        </w:rPr>
        <w:t>ANG/SZ</w:t>
      </w:r>
      <w:r>
        <w:rPr>
          <w:rFonts w:ascii="黑体" w:eastAsia="黑体"/>
          <w:sz w:val="28"/>
          <w:szCs w:val="28"/>
        </w:rPr>
        <w:t xml:space="preserve"> Z</w:t>
      </w:r>
      <w:r>
        <w:rPr>
          <w:rFonts w:hint="eastAsia" w:ascii="黑体" w:eastAsia="黑体"/>
          <w:sz w:val="28"/>
          <w:szCs w:val="28"/>
        </w:rPr>
        <w:t>B</w:t>
      </w:r>
      <w:r>
        <w:rPr>
          <w:rFonts w:ascii="黑体" w:eastAsia="黑体"/>
          <w:sz w:val="28"/>
          <w:szCs w:val="28"/>
        </w:rPr>
        <w:t xml:space="preserve"> </w:t>
      </w:r>
      <w:r>
        <w:rPr>
          <w:rFonts w:hint="eastAsia" w:ascii="黑体" w:eastAsia="黑体"/>
          <w:sz w:val="28"/>
          <w:szCs w:val="28"/>
          <w:lang w:val="en-US" w:eastAsia="zh-CN"/>
        </w:rPr>
        <w:t>22</w:t>
      </w:r>
      <w:r>
        <w:rPr>
          <w:rFonts w:ascii="黑体" w:eastAsia="黑体"/>
          <w:sz w:val="28"/>
          <w:szCs w:val="28"/>
        </w:rPr>
        <w:t>--20</w:t>
      </w:r>
      <w:r>
        <w:rPr>
          <w:rFonts w:hint="eastAsia" w:ascii="黑体" w:eastAsia="黑体"/>
          <w:sz w:val="28"/>
          <w:szCs w:val="28"/>
        </w:rPr>
        <w:t>2</w:t>
      </w:r>
      <w:r>
        <w:rPr>
          <w:rFonts w:hint="eastAsia" w:ascii="黑体" w:eastAsia="黑体"/>
          <w:sz w:val="28"/>
          <w:szCs w:val="28"/>
          <w:lang w:val="en-US" w:eastAsia="zh-CN"/>
        </w:rPr>
        <w:t>2</w:t>
      </w:r>
    </w:p>
    <w:p>
      <w:pPr>
        <w:spacing w:before="156" w:beforeLines="50" w:after="156" w:afterLines="50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p>
      <w:pPr>
        <w:spacing w:before="156" w:beforeLines="50" w:after="156" w:afterLines="50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p>
      <w:pPr>
        <w:spacing w:before="156" w:beforeLines="50" w:after="156" w:afterLines="50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p>
      <w:pPr>
        <w:spacing w:line="600" w:lineRule="exact"/>
        <w:jc w:val="left"/>
        <w:rPr>
          <w:rFonts w:hint="eastAsia" w:ascii="宋体" w:hAnsi="宋体"/>
          <w:b/>
          <w:sz w:val="44"/>
          <w:szCs w:val="44"/>
        </w:rPr>
      </w:pPr>
    </w:p>
    <w:p>
      <w:pPr>
        <w:spacing w:line="600" w:lineRule="exact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信息公开管理办法</w:t>
      </w:r>
    </w:p>
    <w:p>
      <w:pPr>
        <w:spacing w:line="600" w:lineRule="exact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（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试行</w:t>
      </w:r>
      <w:r>
        <w:rPr>
          <w:rFonts w:hint="eastAsia" w:ascii="宋体" w:hAnsi="宋体"/>
          <w:b/>
          <w:sz w:val="44"/>
          <w:szCs w:val="44"/>
        </w:rPr>
        <w:t>）</w:t>
      </w:r>
    </w:p>
    <w:p>
      <w:pPr>
        <w:spacing w:before="156" w:beforeLines="50" w:after="156" w:afterLines="50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p>
      <w:pPr>
        <w:spacing w:before="156" w:beforeLines="50" w:after="156" w:afterLines="50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p>
      <w:pPr>
        <w:spacing w:before="156" w:beforeLines="50" w:after="156" w:afterLines="50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p>
      <w:pPr>
        <w:spacing w:before="156" w:beforeLines="50" w:after="156" w:afterLines="50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p>
      <w:pPr>
        <w:spacing w:before="156" w:beforeLines="50" w:after="156" w:afterLines="50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p>
      <w:pPr>
        <w:spacing w:before="156" w:beforeLines="50" w:after="156" w:afterLines="50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p>
      <w:pPr>
        <w:spacing w:before="156" w:beforeLines="50" w:after="156" w:afterLines="50" w:line="400" w:lineRule="atLeast"/>
        <w:jc w:val="both"/>
        <w:rPr>
          <w:rFonts w:ascii="等线" w:hAnsi="等线"/>
          <w:b/>
          <w:bCs/>
          <w:sz w:val="32"/>
          <w:szCs w:val="32"/>
        </w:rPr>
      </w:pPr>
    </w:p>
    <w:p>
      <w:pPr>
        <w:pStyle w:val="2"/>
      </w:pPr>
    </w:p>
    <w:p>
      <w:pPr>
        <w:pBdr>
          <w:bottom w:val="single" w:color="auto" w:sz="12" w:space="1"/>
        </w:pBdr>
        <w:spacing w:line="600" w:lineRule="exact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>20</w:t>
      </w:r>
      <w:r>
        <w:rPr>
          <w:rFonts w:hint="eastAsia" w:ascii="黑体" w:eastAsia="黑体"/>
          <w:sz w:val="28"/>
          <w:szCs w:val="28"/>
          <w:lang w:val="en-US" w:eastAsia="zh-CN"/>
        </w:rPr>
        <w:t>22</w:t>
      </w:r>
      <w:r>
        <w:rPr>
          <w:rFonts w:hint="eastAsia" w:ascii="黑体" w:eastAsia="黑体"/>
          <w:sz w:val="28"/>
          <w:szCs w:val="28"/>
        </w:rPr>
        <w:t>-</w:t>
      </w:r>
      <w:r>
        <w:rPr>
          <w:rFonts w:hint="eastAsia" w:ascii="黑体" w:eastAsia="黑体"/>
          <w:sz w:val="28"/>
          <w:szCs w:val="28"/>
          <w:lang w:val="en-US" w:eastAsia="zh-CN"/>
        </w:rPr>
        <w:t>11</w:t>
      </w:r>
      <w:r>
        <w:rPr>
          <w:rFonts w:ascii="黑体" w:eastAsia="黑体"/>
          <w:sz w:val="28"/>
          <w:szCs w:val="28"/>
        </w:rPr>
        <w:t>-</w:t>
      </w:r>
      <w:r>
        <w:rPr>
          <w:rFonts w:hint="eastAsia" w:ascii="黑体" w:eastAsia="黑体"/>
          <w:sz w:val="28"/>
          <w:szCs w:val="28"/>
          <w:lang w:val="en-US" w:eastAsia="zh-CN"/>
        </w:rPr>
        <w:t>7</w:t>
      </w:r>
      <w:r>
        <w:rPr>
          <w:rFonts w:hint="eastAsia" w:ascii="黑体" w:eastAsia="黑体"/>
          <w:sz w:val="28"/>
          <w:szCs w:val="28"/>
        </w:rPr>
        <w:t xml:space="preserve">发布                             </w:t>
      </w:r>
      <w:r>
        <w:rPr>
          <w:rFonts w:ascii="黑体" w:eastAsia="黑体"/>
          <w:sz w:val="28"/>
          <w:szCs w:val="28"/>
        </w:rPr>
        <w:t>20</w:t>
      </w:r>
      <w:r>
        <w:rPr>
          <w:rFonts w:hint="eastAsia" w:ascii="黑体" w:eastAsia="黑体"/>
          <w:sz w:val="28"/>
          <w:szCs w:val="28"/>
          <w:lang w:val="en-US" w:eastAsia="zh-CN"/>
        </w:rPr>
        <w:t>22</w:t>
      </w:r>
      <w:r>
        <w:rPr>
          <w:rFonts w:hint="eastAsia" w:ascii="黑体" w:eastAsia="黑体"/>
          <w:sz w:val="28"/>
          <w:szCs w:val="28"/>
        </w:rPr>
        <w:t>-</w:t>
      </w:r>
      <w:r>
        <w:rPr>
          <w:rFonts w:hint="eastAsia" w:ascii="黑体" w:eastAsia="黑体"/>
          <w:sz w:val="28"/>
          <w:szCs w:val="28"/>
          <w:lang w:val="en-US" w:eastAsia="zh-CN"/>
        </w:rPr>
        <w:t>11</w:t>
      </w:r>
      <w:r>
        <w:rPr>
          <w:rFonts w:ascii="黑体" w:eastAsia="黑体"/>
          <w:sz w:val="28"/>
          <w:szCs w:val="28"/>
        </w:rPr>
        <w:t>-</w:t>
      </w:r>
      <w:r>
        <w:rPr>
          <w:rFonts w:hint="eastAsia" w:ascii="黑体" w:eastAsia="黑体"/>
          <w:sz w:val="28"/>
          <w:szCs w:val="28"/>
          <w:lang w:val="en-US" w:eastAsia="zh-CN"/>
        </w:rPr>
        <w:t>7</w:t>
      </w:r>
      <w:r>
        <w:rPr>
          <w:rFonts w:hint="eastAsia" w:ascii="黑体" w:eastAsia="黑体"/>
          <w:sz w:val="28"/>
          <w:szCs w:val="28"/>
        </w:rPr>
        <w:t>实施</w:t>
      </w:r>
    </w:p>
    <w:p>
      <w:pPr>
        <w:spacing w:before="156" w:beforeLines="50" w:after="156" w:afterLines="50" w:line="400" w:lineRule="atLeast"/>
        <w:ind w:firstLine="560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宿州皖能天然气有限公司</w:t>
      </w:r>
      <w:r>
        <w:rPr>
          <w:rFonts w:hint="eastAsia" w:ascii="黑体" w:eastAsia="黑体"/>
          <w:sz w:val="28"/>
          <w:szCs w:val="28"/>
          <w:lang w:val="en-US" w:eastAsia="zh-CN"/>
        </w:rPr>
        <w:t xml:space="preserve"> </w:t>
      </w:r>
      <w:r>
        <w:rPr>
          <w:rFonts w:hint="eastAsia" w:ascii="黑体" w:eastAsia="黑体"/>
          <w:sz w:val="28"/>
          <w:szCs w:val="28"/>
        </w:rPr>
        <w:t>发布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center"/>
        <w:textAlignment w:val="auto"/>
        <w:rPr>
          <w:rFonts w:hint="eastAsia" w:ascii="宋体" w:hAnsi="宋体"/>
          <w:b/>
          <w:bCs/>
          <w:sz w:val="44"/>
          <w:szCs w:val="44"/>
        </w:rPr>
        <w:sectPr>
          <w:headerReference r:id="rId4" w:type="first"/>
          <w:headerReference r:id="rId3" w:type="default"/>
          <w:footerReference r:id="rId5" w:type="even"/>
          <w:pgSz w:w="11906" w:h="16838"/>
          <w:pgMar w:top="1440" w:right="1800" w:bottom="1440" w:left="1800" w:header="851" w:footer="992" w:gutter="0"/>
          <w:pgNumType w:start="0"/>
          <w:cols w:space="425" w:num="1"/>
          <w:titlePg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center"/>
        <w:textAlignment w:val="auto"/>
        <w:rPr>
          <w:rFonts w:hint="eastAsia"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宿州皖能天然气有限公司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center"/>
        <w:textAlignment w:val="auto"/>
        <w:rPr>
          <w:b/>
          <w:bCs/>
          <w:sz w:val="44"/>
          <w:szCs w:val="44"/>
          <w:lang w:val="en-US"/>
        </w:rPr>
      </w:pPr>
      <w:bookmarkStart w:id="0" w:name="_GoBack"/>
      <w:r>
        <w:rPr>
          <w:rFonts w:hint="eastAsia"/>
          <w:b/>
          <w:bCs/>
          <w:sz w:val="44"/>
          <w:szCs w:val="44"/>
        </w:rPr>
        <w:t>信息公开管理办法（试行）</w:t>
      </w:r>
    </w:p>
    <w:bookmarkEnd w:id="0"/>
    <w:p>
      <w:pPr>
        <w:keepNext w:val="0"/>
        <w:keepLines w:val="0"/>
        <w:pageBreakBefore w:val="0"/>
        <w:widowControl w:val="0"/>
        <w:tabs>
          <w:tab w:val="left" w:pos="130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第一章 总 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 xml:space="preserve">第一条 </w:t>
      </w:r>
      <w:r>
        <w:rPr>
          <w:rFonts w:hint="eastAsia" w:ascii="宋体" w:hAnsi="宋体" w:eastAsia="宋体" w:cs="宋体"/>
          <w:sz w:val="24"/>
          <w:szCs w:val="24"/>
        </w:rPr>
        <w:t>为规范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宿州皖能天然气有限公司</w:t>
      </w:r>
      <w:r>
        <w:rPr>
          <w:rFonts w:hint="eastAsia" w:ascii="宋体" w:hAnsi="宋体" w:eastAsia="宋体" w:cs="宋体"/>
          <w:sz w:val="24"/>
          <w:szCs w:val="24"/>
        </w:rPr>
        <w:t>（以下简称“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公司</w:t>
      </w:r>
      <w:r>
        <w:rPr>
          <w:rFonts w:hint="eastAsia" w:ascii="宋体" w:hAnsi="宋体" w:eastAsia="宋体" w:cs="宋体"/>
          <w:sz w:val="24"/>
          <w:szCs w:val="24"/>
        </w:rPr>
        <w:t>”）信息公开工作，提高公司工作透明度，主动接受社会监督，根据《安徽省天然气开发股份有限公司信息公开管理办法（试行）》，结合公司实际，特制定本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办法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第二条</w:t>
      </w:r>
      <w:r>
        <w:rPr>
          <w:rFonts w:hint="eastAsia" w:ascii="宋体" w:hAnsi="宋体" w:eastAsia="宋体" w:cs="宋体"/>
          <w:sz w:val="24"/>
          <w:szCs w:val="24"/>
        </w:rPr>
        <w:t xml:space="preserve"> 公司针对不同的信息选择适合的公开方式，包括公司门户网站、微信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公众号</w:t>
      </w:r>
      <w:r>
        <w:rPr>
          <w:rFonts w:hint="eastAsia" w:ascii="宋体" w:hAnsi="宋体" w:eastAsia="宋体" w:cs="宋体"/>
          <w:sz w:val="24"/>
          <w:szCs w:val="24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第三条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公司综合管理部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作为信息公开的牵头部门，负责制订管理制度及日常工作；公司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其他部门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在职责范围内做好信息公开工作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各自职责详见《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4"/>
          <w:szCs w:val="24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宿州皖能天然气有限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公司信息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4"/>
          <w:szCs w:val="24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公开目录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更新维护责任分工表》（附件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4"/>
          <w:szCs w:val="24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leftChars="0"/>
        <w:textAlignment w:val="auto"/>
        <w:outlineLvl w:val="9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第二章 信息公开的原则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第四条</w:t>
      </w:r>
      <w:r>
        <w:rPr>
          <w:rFonts w:hint="eastAsia" w:ascii="宋体" w:hAnsi="宋体" w:eastAsia="宋体" w:cs="宋体"/>
          <w:sz w:val="24"/>
          <w:szCs w:val="24"/>
        </w:rPr>
        <w:t xml:space="preserve"> 信息公开坚持依法合规、真实准确、及时公开并严格责任的原则。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（二）真实准确。公开的信息应当真实、准确，不得有虚假记载、误导性陈述或者重大遗漏。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（三）及时公开。应当公开的信息应采取适当方式及时公开，不得隐瞒、拖延或不公开。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（四）严格责任。公司相关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单位</w:t>
      </w:r>
      <w:r>
        <w:rPr>
          <w:rFonts w:hint="eastAsia" w:ascii="宋体" w:hAnsi="宋体" w:eastAsia="宋体" w:cs="宋体"/>
          <w:sz w:val="24"/>
          <w:szCs w:val="24"/>
        </w:rPr>
        <w:t>按照“谁形成谁公开，谁公开谁负责”的原则，对提供的公开信息负责。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第三章 信息公开的内容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left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第五条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信息公开的内容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（一）企业信息：主要包括企业简介、组织架构、高管人员、工商注册登记等企业基本信息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（二）经济信息：主要包括企业年度主要财务经营情况、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年度国有资本保值增值情况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（三）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“三重一大”事项：</w:t>
      </w:r>
      <w:r>
        <w:rPr>
          <w:rFonts w:hint="eastAsia" w:ascii="宋体" w:hAnsi="宋体" w:eastAsia="宋体" w:cs="宋体"/>
          <w:sz w:val="24"/>
          <w:szCs w:val="24"/>
        </w:rPr>
        <w:t>主要包括重大决策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事项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要干部</w:t>
      </w:r>
      <w:r>
        <w:rPr>
          <w:rFonts w:hint="eastAsia" w:ascii="宋体" w:hAnsi="宋体" w:eastAsia="宋体" w:cs="宋体"/>
          <w:sz w:val="24"/>
          <w:szCs w:val="24"/>
        </w:rPr>
        <w:t>任免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重大项目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投资</w:t>
      </w:r>
      <w:r>
        <w:rPr>
          <w:rFonts w:hint="eastAsia" w:ascii="宋体" w:hAnsi="宋体" w:eastAsia="宋体" w:cs="宋体"/>
          <w:sz w:val="24"/>
          <w:szCs w:val="24"/>
        </w:rPr>
        <w:t>安排及大额资金运作等情况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（四）扶贫帮困等企业履行社会责任情况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企业党建情况；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sz w:val="24"/>
          <w:szCs w:val="24"/>
        </w:rPr>
        <w:t>）有关部门依法要求公开的监督检查问题整改情况、重大突发事件事态发展和应急处置情况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="0" w:leftChars="0" w:firstLine="480" w:firstLineChars="200"/>
        <w:jc w:val="both"/>
        <w:textAlignment w:val="auto"/>
        <w:outlineLvl w:val="9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）天然气基础设施公平开放信息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）其他依照法律法规规定应当主动公开的信息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第六条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不予公开的信息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（一）涉及国家秘密的信息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涉及商业秘密、个人隐私的信息。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（二）公开后可能会影响检查、调查取证、审议等执法活动的信息。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（三）公司认定的可能对他人隐私和名誉构成侵害、对相关人员合法权益造成损害、对企业及社会的正常秩序带来影响的信息。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（四）其他法律、行政法规规定不予公开的信息。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第四章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审批流程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leftChars="0"/>
        <w:textAlignment w:val="auto"/>
        <w:outlineLvl w:val="9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第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 xml:space="preserve">条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需采用其他形式公开的信息，经相关部门负责人、分管领导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审核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同意，提交公司主要领导审批后方可公开。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第五章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保密审查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条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公司在公开信息前，应当依照《中华人民共和国保守国家秘密法》以及其他法律、法规的规定，对拟公开信息进行保密审查，对信息不能确定是否涉密时，应当报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公司</w:t>
      </w:r>
      <w:r>
        <w:rPr>
          <w:rFonts w:hint="eastAsia" w:ascii="宋体" w:hAnsi="宋体" w:eastAsia="宋体" w:cs="宋体"/>
          <w:sz w:val="24"/>
          <w:szCs w:val="24"/>
        </w:rPr>
        <w:t>保密委员会办公室确定。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outlineLvl w:val="9"/>
        <w:rPr>
          <w:rFonts w:ascii="黑体" w:hAnsi="黑体" w:eastAsia="黑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九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条 </w:t>
      </w:r>
      <w:r>
        <w:rPr>
          <w:rFonts w:hint="eastAsia" w:ascii="宋体" w:hAnsi="宋体" w:eastAsia="宋体" w:cs="宋体"/>
          <w:sz w:val="24"/>
          <w:szCs w:val="24"/>
        </w:rPr>
        <w:t>公司保密委员会办公室负责指导各部门对拟公开信息进行保密审查，督促检查信息公开工作中的保密责任落实情况。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第六章 附 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第十条 </w:t>
      </w:r>
      <w:r>
        <w:rPr>
          <w:rFonts w:hint="eastAsia" w:ascii="宋体" w:hAnsi="宋体" w:eastAsia="宋体" w:cs="宋体"/>
          <w:sz w:val="24"/>
          <w:szCs w:val="24"/>
        </w:rPr>
        <w:t>本办法自发布之日起施行，由公司综合管理部负责解释。</w:t>
      </w:r>
    </w:p>
    <w:p>
      <w:pPr>
        <w:pStyle w:val="2"/>
        <w:ind w:left="0" w:leftChars="0" w:firstLine="0" w:firstLineChars="0"/>
        <w:sectPr>
          <w:headerReference r:id="rId6" w:type="first"/>
          <w:footerReference r:id="rId8" w:type="first"/>
          <w:footerReference r:id="rId7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titlePg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附件一：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宿州皖能天然气有限公司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yellow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信息公开目录更新维护责任分工表</w:t>
      </w:r>
    </w:p>
    <w:tbl>
      <w:tblPr>
        <w:tblStyle w:val="16"/>
        <w:tblpPr w:leftFromText="180" w:rightFromText="180" w:vertAnchor="text" w:horzAnchor="page" w:tblpXSpec="center" w:tblpY="839"/>
        <w:tblOverlap w:val="never"/>
        <w:tblW w:w="1266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0"/>
        <w:gridCol w:w="4050"/>
        <w:gridCol w:w="2515"/>
        <w:gridCol w:w="3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1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栏目名称</w:t>
            </w:r>
          </w:p>
        </w:tc>
        <w:tc>
          <w:tcPr>
            <w:tcW w:w="385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一级栏目</w:t>
            </w: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二级栏目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三级栏目</w:t>
            </w:r>
          </w:p>
        </w:tc>
        <w:tc>
          <w:tcPr>
            <w:tcW w:w="38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企业信息</w:t>
            </w: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企业简介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Align w:val="top"/>
          </w:tcPr>
          <w:p>
            <w:pPr>
              <w:spacing w:before="110" w:line="227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综合管理部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50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机构领导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机构领导</w:t>
            </w:r>
          </w:p>
        </w:tc>
        <w:tc>
          <w:tcPr>
            <w:tcW w:w="3850" w:type="dxa"/>
            <w:vMerge w:val="restart"/>
            <w:vAlign w:val="top"/>
          </w:tcPr>
          <w:p>
            <w:pPr>
              <w:spacing w:before="74" w:line="227" w:lineRule="auto"/>
              <w:ind w:left="494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</w:p>
          <w:p>
            <w:pPr>
              <w:spacing w:before="74" w:line="227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综合管理部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50" w:type="dxa"/>
            <w:vMerge w:val="continue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组织机构</w:t>
            </w:r>
          </w:p>
        </w:tc>
        <w:tc>
          <w:tcPr>
            <w:tcW w:w="385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工商注册基本信息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Align w:val="top"/>
          </w:tcPr>
          <w:p>
            <w:pPr>
              <w:spacing w:before="110" w:line="227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综合管理部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2250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经济信息</w:t>
            </w: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财务经营状况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Align w:val="top"/>
          </w:tcPr>
          <w:p>
            <w:pPr>
              <w:spacing w:line="221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财务管理部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szCs w:val="24"/>
              </w:rPr>
            </w:pP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国有资产保值增值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Align w:val="center"/>
          </w:tcPr>
          <w:p>
            <w:pPr>
              <w:spacing w:before="28" w:line="240" w:lineRule="auto"/>
              <w:ind w:left="1333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</w:p>
          <w:p>
            <w:pPr>
              <w:spacing w:before="28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财务管理部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年度工作报告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Align w:val="top"/>
          </w:tcPr>
          <w:p>
            <w:pPr>
              <w:spacing w:line="224" w:lineRule="auto"/>
              <w:jc w:val="center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综合管理部</w:t>
            </w:r>
          </w:p>
          <w:p>
            <w:pPr>
              <w:spacing w:line="22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sectPr>
          <w:headerReference r:id="rId9" w:type="first"/>
          <w:footerReference r:id="rId11" w:type="first"/>
          <w:footerReference r:id="rId10" w:type="default"/>
          <w:pgSz w:w="16838" w:h="11906" w:orient="landscape"/>
          <w:pgMar w:top="1797" w:right="1440" w:bottom="1797" w:left="144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tbl>
      <w:tblPr>
        <w:tblStyle w:val="16"/>
        <w:tblpPr w:horzAnchor="page" w:tblpXSpec="center" w:tblpYSpec="top"/>
        <w:tblOverlap w:val="never"/>
        <w:tblW w:w="1266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0"/>
        <w:gridCol w:w="4050"/>
        <w:gridCol w:w="2515"/>
        <w:gridCol w:w="3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1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栏目名称</w:t>
            </w:r>
          </w:p>
        </w:tc>
        <w:tc>
          <w:tcPr>
            <w:tcW w:w="385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一级栏目</w:t>
            </w: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二级栏目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三级栏目</w:t>
            </w:r>
          </w:p>
        </w:tc>
        <w:tc>
          <w:tcPr>
            <w:tcW w:w="38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“三重一大”事项</w:t>
            </w: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重大决策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Align w:val="top"/>
          </w:tcPr>
          <w:p>
            <w:pPr>
              <w:spacing w:before="110" w:line="227" w:lineRule="auto"/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综合管理部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重大人事任免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Merge w:val="restart"/>
            <w:vAlign w:val="top"/>
          </w:tcPr>
          <w:p>
            <w:pPr>
              <w:spacing w:before="75" w:line="227" w:lineRule="auto"/>
              <w:jc w:val="center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</w:p>
          <w:p>
            <w:pPr>
              <w:spacing w:before="75" w:line="227" w:lineRule="auto"/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综合管理部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人事任免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人事招聘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重大项目安排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Merge w:val="restart"/>
            <w:vAlign w:val="top"/>
          </w:tcPr>
          <w:p>
            <w:pPr>
              <w:spacing w:before="75" w:line="227" w:lineRule="auto"/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综合管理部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项目安排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招投标公告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Align w:val="top"/>
          </w:tcPr>
          <w:p>
            <w:pPr>
              <w:spacing w:before="109" w:line="227" w:lineRule="auto"/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工程管理部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大额资金运作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Align w:val="top"/>
          </w:tcPr>
          <w:p>
            <w:pPr>
              <w:spacing w:before="1" w:line="221" w:lineRule="auto"/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财务管理部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社会责任履行</w:t>
            </w: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Align w:val="top"/>
          </w:tcPr>
          <w:p>
            <w:pPr>
              <w:spacing w:before="109" w:line="227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综合管理部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整改落实情况</w:t>
            </w: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监督渠道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信访举报</w:t>
            </w:r>
          </w:p>
        </w:tc>
        <w:tc>
          <w:tcPr>
            <w:tcW w:w="3850" w:type="dxa"/>
            <w:vMerge w:val="restart"/>
            <w:vAlign w:val="top"/>
          </w:tcPr>
          <w:p>
            <w:pPr>
              <w:spacing w:before="75" w:line="228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纪检小组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监督投诉及结果反馈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应急管理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Align w:val="top"/>
          </w:tcPr>
          <w:p>
            <w:pPr>
              <w:spacing w:before="28" w:line="222" w:lineRule="auto"/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安全生产部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企业党建</w:t>
            </w: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Align w:val="top"/>
          </w:tcPr>
          <w:p>
            <w:pPr>
              <w:spacing w:line="221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综合管理部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tabs>
          <w:tab w:val="left" w:pos="109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  <w:sectPr>
          <w:footerReference r:id="rId13" w:type="first"/>
          <w:footerReference r:id="rId12" w:type="default"/>
          <w:pgSz w:w="16838" w:h="11906" w:orient="landscape"/>
          <w:pgMar w:top="1797" w:right="1440" w:bottom="1797" w:left="144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tbl>
      <w:tblPr>
        <w:tblStyle w:val="16"/>
        <w:tblpPr w:horzAnchor="page" w:tblpXSpec="center" w:tblpYSpec="top"/>
        <w:tblOverlap w:val="never"/>
        <w:tblW w:w="1266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0"/>
        <w:gridCol w:w="4050"/>
        <w:gridCol w:w="2515"/>
        <w:gridCol w:w="3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1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栏目名称</w:t>
            </w:r>
          </w:p>
        </w:tc>
        <w:tc>
          <w:tcPr>
            <w:tcW w:w="385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一级栏目</w:t>
            </w: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二级栏目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三级栏目</w:t>
            </w:r>
          </w:p>
        </w:tc>
        <w:tc>
          <w:tcPr>
            <w:tcW w:w="38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天然气基础设施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公平开放信息</w:t>
            </w: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管网设施情况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Merge w:val="restart"/>
            <w:vAlign w:val="top"/>
          </w:tcPr>
          <w:p>
            <w:pPr>
              <w:spacing w:line="267" w:lineRule="auto"/>
              <w:jc w:val="center"/>
            </w:pPr>
          </w:p>
          <w:p>
            <w:pPr>
              <w:spacing w:line="267" w:lineRule="auto"/>
              <w:jc w:val="center"/>
            </w:pPr>
          </w:p>
          <w:p>
            <w:pPr>
              <w:spacing w:line="227" w:lineRule="auto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spacing w:line="227" w:lineRule="auto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spacing w:line="227" w:lineRule="auto"/>
              <w:jc w:val="center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  <w:t>市场客服部（客服）</w:t>
            </w:r>
          </w:p>
          <w:p>
            <w:pPr>
              <w:pStyle w:val="2"/>
              <w:ind w:firstLine="920" w:firstLineChars="40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sz w:val="23"/>
                <w:szCs w:val="23"/>
                <w:lang w:val="en-US" w:eastAsia="zh-CN"/>
              </w:rPr>
              <w:t>安全生产部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计量收费标准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开放标准目录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申请和受理流程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信息咨询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其他</w:t>
            </w: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Align w:val="top"/>
          </w:tcPr>
          <w:p>
            <w:pPr>
              <w:spacing w:before="114" w:line="227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2"/>
                <w:sz w:val="23"/>
                <w:szCs w:val="23"/>
                <w:lang w:val="en-US" w:eastAsia="zh-CN"/>
              </w:rPr>
              <w:t>相关部门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tabs>
          <w:tab w:val="left" w:pos="109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sectPr>
      <w:pgSz w:w="16838" w:h="11906" w:orient="landscape"/>
      <w:pgMar w:top="1797" w:right="1440" w:bottom="1797" w:left="1440" w:header="851" w:footer="992" w:gutter="0"/>
      <w:pgNumType w:fmt="decimal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eastAsia" w:ascii="宋体" w:hAnsi="宋体" w:eastAsia="宋体" w:cs="宋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s0lY7tAAAAAFAQAADwAAAAAAAAAB&#10;ACAAAAAiAAAAZHJzL2Rvd25yZXYueG1sUEsBAhQAFAAAAAgAh07iQLLzXnDDAgAA2AUAAA4AAAAA&#10;AAAAAQAgAAAAHwEAAGRycy9lMm9Eb2MueG1sUEsFBgAAAAAGAAYAWQEAAFQ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s0lY7tAAAAAFAQAADwAAAAAAAAAB&#10;ACAAAAAiAAAAZHJzL2Rvd25yZXYueG1sUEsBAhQAFAAAAAgAh07iQOTMYNrDAgAA2AUAAA4AAAAA&#10;AAAAAQAgAAAAHwEAAGRycy9lMm9Eb2MueG1sUEsFBgAAAAAGAAYAWQEAAFQ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eastAsia" w:ascii="宋体" w:hAnsi="宋体" w:eastAsia="宋体" w:cs="宋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s0lY7tAAAAAFAQAADwAAAAAAAAAB&#10;ACAAAAAiAAAAZHJzL2Rvd25yZXYueG1sUEsBAhQAFAAAAAgAh07iQF+LU//DAgAA2AUAAA4AAAAA&#10;AAAAAQAgAAAAHwEAAGRycy9lMm9Eb2MueG1sUEsFBgAAAAAGAAYAWQEAAFQ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4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s0lY7tAAAAAFAQAADwAAAAAAAAAB&#10;ACAAAAAiAAAAZHJzL2Rvd25yZXYueG1sUEsBAhQAFAAAAAgAh07iQAm0bVXDAgAA2AUAAA4AAAAA&#10;AAAAAQAgAAAAHwEAAGRycy9lMm9Eb2MueG1sUEsFBgAAAAAGAAYAWQEAAFQ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4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eastAsia" w:ascii="宋体" w:hAnsi="宋体" w:eastAsia="宋体" w:cs="宋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Xu2T5MICAADY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8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CNKtTsICAADY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5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single" w:color="auto" w:sz="4" w:space="1"/>
      </w:pBdr>
      <w:jc w:val="left"/>
    </w:pPr>
    <w:r>
      <w:rPr>
        <w:rFonts w:hint="eastAsia" w:ascii="宋体" w:hAnsi="宋体" w:cs="宋体"/>
        <w:szCs w:val="21"/>
      </w:rPr>
      <w:drawing>
        <wp:inline distT="0" distB="0" distL="114300" distR="114300">
          <wp:extent cx="190500" cy="190500"/>
          <wp:effectExtent l="0" t="0" r="0" b="0"/>
          <wp:docPr id="5" name="图片 2" descr="wps1E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2" descr="wps1E6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1FFFF"/>
                      </a:clrFrom>
                      <a:clrTo>
                        <a:srgbClr val="F1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500" cy="1905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cs="宋体"/>
        <w:szCs w:val="21"/>
      </w:rPr>
      <w:t>宿州皖能</w:t>
    </w:r>
    <w:r>
      <w:rPr>
        <w:rFonts w:hint="eastAsia" w:ascii="宋体" w:hAnsi="宋体" w:cs="宋体"/>
      </w:rPr>
      <w:t>天然气                                                          信息公开管理办法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single" w:color="auto" w:sz="4" w:space="1"/>
      </w:pBdr>
      <w:jc w:val="left"/>
    </w:pPr>
    <w:r>
      <w:rPr>
        <w:rFonts w:hint="eastAsia" w:ascii="宋体" w:hAnsi="宋体" w:cs="宋体"/>
        <w:szCs w:val="21"/>
      </w:rPr>
      <w:drawing>
        <wp:inline distT="0" distB="0" distL="114300" distR="114300">
          <wp:extent cx="190500" cy="190500"/>
          <wp:effectExtent l="0" t="0" r="0" b="0"/>
          <wp:docPr id="13" name="图片 2" descr="wps1E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2" descr="wps1E6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1FFFF"/>
                      </a:clrFrom>
                      <a:clrTo>
                        <a:srgbClr val="F1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500" cy="1905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cs="宋体"/>
        <w:szCs w:val="21"/>
      </w:rPr>
      <w:t>宿州皖能</w:t>
    </w:r>
    <w:r>
      <w:rPr>
        <w:rFonts w:hint="eastAsia" w:ascii="宋体" w:hAnsi="宋体" w:cs="宋体"/>
      </w:rPr>
      <w:t>天然气                                                          信息公开管理办法</w:t>
    </w:r>
  </w:p>
  <w:p>
    <w:pPr>
      <w:pStyle w:val="9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single" w:color="auto" w:sz="4" w:space="1"/>
      </w:pBdr>
      <w:jc w:val="left"/>
    </w:pPr>
    <w:r>
      <w:rPr>
        <w:rFonts w:hint="eastAsia" w:ascii="宋体" w:hAnsi="宋体" w:cs="宋体"/>
        <w:szCs w:val="21"/>
      </w:rPr>
      <w:drawing>
        <wp:inline distT="0" distB="0" distL="114300" distR="114300">
          <wp:extent cx="190500" cy="190500"/>
          <wp:effectExtent l="0" t="0" r="0" b="0"/>
          <wp:docPr id="20" name="图片 2" descr="wps1E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图片 2" descr="wps1E6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1FFFF"/>
                      </a:clrFrom>
                      <a:clrTo>
                        <a:srgbClr val="F1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500" cy="1905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cs="宋体"/>
        <w:szCs w:val="21"/>
      </w:rPr>
      <w:t>宿州皖能</w:t>
    </w:r>
    <w:r>
      <w:rPr>
        <w:rFonts w:hint="eastAsia" w:ascii="宋体" w:hAnsi="宋体" w:cs="宋体"/>
      </w:rPr>
      <w:t xml:space="preserve">天然气                                                          </w:t>
    </w:r>
    <w:r>
      <w:rPr>
        <w:rFonts w:hint="eastAsia" w:ascii="宋体" w:hAnsi="宋体" w:cs="宋体"/>
        <w:lang w:val="en-US" w:eastAsia="zh-CN"/>
      </w:rPr>
      <w:t xml:space="preserve">                                                               </w:t>
    </w:r>
    <w:r>
      <w:rPr>
        <w:rFonts w:hint="eastAsia" w:ascii="宋体" w:hAnsi="宋体" w:cs="宋体"/>
      </w:rPr>
      <w:t>信息公开管理办法</w:t>
    </w:r>
  </w:p>
  <w:p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DEB"/>
    <w:rsid w:val="000066DD"/>
    <w:rsid w:val="00007934"/>
    <w:rsid w:val="0004399E"/>
    <w:rsid w:val="00054DEB"/>
    <w:rsid w:val="00067F1A"/>
    <w:rsid w:val="000805CF"/>
    <w:rsid w:val="0009216F"/>
    <w:rsid w:val="000B7C60"/>
    <w:rsid w:val="000C5CB6"/>
    <w:rsid w:val="000E057B"/>
    <w:rsid w:val="000E1528"/>
    <w:rsid w:val="001039F1"/>
    <w:rsid w:val="001068BE"/>
    <w:rsid w:val="00120859"/>
    <w:rsid w:val="0013207E"/>
    <w:rsid w:val="0014109A"/>
    <w:rsid w:val="001518B8"/>
    <w:rsid w:val="0016764F"/>
    <w:rsid w:val="00177136"/>
    <w:rsid w:val="001902E2"/>
    <w:rsid w:val="001A0D10"/>
    <w:rsid w:val="001C16CF"/>
    <w:rsid w:val="001D3911"/>
    <w:rsid w:val="001D626B"/>
    <w:rsid w:val="001F50ED"/>
    <w:rsid w:val="0021027B"/>
    <w:rsid w:val="002153FD"/>
    <w:rsid w:val="002734DF"/>
    <w:rsid w:val="00275FC3"/>
    <w:rsid w:val="002773F0"/>
    <w:rsid w:val="00283296"/>
    <w:rsid w:val="0028399E"/>
    <w:rsid w:val="00285C5C"/>
    <w:rsid w:val="002A6FA1"/>
    <w:rsid w:val="002B29CC"/>
    <w:rsid w:val="002B7B26"/>
    <w:rsid w:val="002C2D3B"/>
    <w:rsid w:val="002C3442"/>
    <w:rsid w:val="002C398D"/>
    <w:rsid w:val="002C5AA6"/>
    <w:rsid w:val="002E682F"/>
    <w:rsid w:val="002F6EB6"/>
    <w:rsid w:val="002F7BA9"/>
    <w:rsid w:val="00304131"/>
    <w:rsid w:val="00310EB2"/>
    <w:rsid w:val="00327C13"/>
    <w:rsid w:val="003419F5"/>
    <w:rsid w:val="00344275"/>
    <w:rsid w:val="00345A65"/>
    <w:rsid w:val="00355A9B"/>
    <w:rsid w:val="003722DE"/>
    <w:rsid w:val="0037668E"/>
    <w:rsid w:val="003A28B6"/>
    <w:rsid w:val="003A3D4C"/>
    <w:rsid w:val="003B76FC"/>
    <w:rsid w:val="003C1FDC"/>
    <w:rsid w:val="003C477D"/>
    <w:rsid w:val="003D3B63"/>
    <w:rsid w:val="003E2F04"/>
    <w:rsid w:val="003E445E"/>
    <w:rsid w:val="00400408"/>
    <w:rsid w:val="00402269"/>
    <w:rsid w:val="004102EB"/>
    <w:rsid w:val="004105A5"/>
    <w:rsid w:val="00423EC9"/>
    <w:rsid w:val="004623D5"/>
    <w:rsid w:val="00467FEA"/>
    <w:rsid w:val="00486B5E"/>
    <w:rsid w:val="004B63EA"/>
    <w:rsid w:val="004E73A4"/>
    <w:rsid w:val="004F0BFB"/>
    <w:rsid w:val="004F4D59"/>
    <w:rsid w:val="004F5D39"/>
    <w:rsid w:val="00502BD1"/>
    <w:rsid w:val="0054546F"/>
    <w:rsid w:val="00545935"/>
    <w:rsid w:val="00545B56"/>
    <w:rsid w:val="00552E38"/>
    <w:rsid w:val="00581D1C"/>
    <w:rsid w:val="00590C8D"/>
    <w:rsid w:val="005962D0"/>
    <w:rsid w:val="005B34AC"/>
    <w:rsid w:val="005C0BC6"/>
    <w:rsid w:val="005C584F"/>
    <w:rsid w:val="005F670D"/>
    <w:rsid w:val="005F69B1"/>
    <w:rsid w:val="00603A40"/>
    <w:rsid w:val="00605AD9"/>
    <w:rsid w:val="00632564"/>
    <w:rsid w:val="00644D95"/>
    <w:rsid w:val="00652D1C"/>
    <w:rsid w:val="006732D1"/>
    <w:rsid w:val="00691B90"/>
    <w:rsid w:val="006C3F94"/>
    <w:rsid w:val="006D45B6"/>
    <w:rsid w:val="006D7F55"/>
    <w:rsid w:val="006F7B3C"/>
    <w:rsid w:val="007138C7"/>
    <w:rsid w:val="0075404D"/>
    <w:rsid w:val="00754A37"/>
    <w:rsid w:val="007900F7"/>
    <w:rsid w:val="007D1E09"/>
    <w:rsid w:val="007D3572"/>
    <w:rsid w:val="007D5EB8"/>
    <w:rsid w:val="007E22B2"/>
    <w:rsid w:val="007E35D3"/>
    <w:rsid w:val="007F1AB1"/>
    <w:rsid w:val="007F227A"/>
    <w:rsid w:val="00801739"/>
    <w:rsid w:val="00812507"/>
    <w:rsid w:val="00815C51"/>
    <w:rsid w:val="00827AEC"/>
    <w:rsid w:val="00867EEB"/>
    <w:rsid w:val="008719A6"/>
    <w:rsid w:val="00880DF4"/>
    <w:rsid w:val="008844E7"/>
    <w:rsid w:val="008A5C75"/>
    <w:rsid w:val="008C541E"/>
    <w:rsid w:val="008D1C0F"/>
    <w:rsid w:val="008F1E8E"/>
    <w:rsid w:val="00955588"/>
    <w:rsid w:val="00970D87"/>
    <w:rsid w:val="009779CE"/>
    <w:rsid w:val="009844E8"/>
    <w:rsid w:val="009C05CB"/>
    <w:rsid w:val="009E1BD0"/>
    <w:rsid w:val="009E3B95"/>
    <w:rsid w:val="009E3E0D"/>
    <w:rsid w:val="00A217D6"/>
    <w:rsid w:val="00A471A0"/>
    <w:rsid w:val="00A71A0E"/>
    <w:rsid w:val="00A80BEB"/>
    <w:rsid w:val="00A94C9D"/>
    <w:rsid w:val="00AB108B"/>
    <w:rsid w:val="00AC06C7"/>
    <w:rsid w:val="00AC1F13"/>
    <w:rsid w:val="00AD22AB"/>
    <w:rsid w:val="00B12923"/>
    <w:rsid w:val="00B16F09"/>
    <w:rsid w:val="00B45363"/>
    <w:rsid w:val="00B516BF"/>
    <w:rsid w:val="00B629A0"/>
    <w:rsid w:val="00B65D93"/>
    <w:rsid w:val="00B702E2"/>
    <w:rsid w:val="00B822FA"/>
    <w:rsid w:val="00B83AD5"/>
    <w:rsid w:val="00B908E2"/>
    <w:rsid w:val="00B90B7F"/>
    <w:rsid w:val="00B9228F"/>
    <w:rsid w:val="00BB3A9C"/>
    <w:rsid w:val="00C165D8"/>
    <w:rsid w:val="00C271D7"/>
    <w:rsid w:val="00C30684"/>
    <w:rsid w:val="00C345C5"/>
    <w:rsid w:val="00C41324"/>
    <w:rsid w:val="00C5609D"/>
    <w:rsid w:val="00C6591A"/>
    <w:rsid w:val="00C67B4C"/>
    <w:rsid w:val="00C76AF4"/>
    <w:rsid w:val="00C86D08"/>
    <w:rsid w:val="00C90199"/>
    <w:rsid w:val="00CB7B89"/>
    <w:rsid w:val="00CE0F34"/>
    <w:rsid w:val="00D152FD"/>
    <w:rsid w:val="00D30429"/>
    <w:rsid w:val="00D424CF"/>
    <w:rsid w:val="00D44C1B"/>
    <w:rsid w:val="00D45398"/>
    <w:rsid w:val="00D64543"/>
    <w:rsid w:val="00D95DF5"/>
    <w:rsid w:val="00DC1575"/>
    <w:rsid w:val="00DC6167"/>
    <w:rsid w:val="00DD72E4"/>
    <w:rsid w:val="00DF175B"/>
    <w:rsid w:val="00E05392"/>
    <w:rsid w:val="00E1326B"/>
    <w:rsid w:val="00E50A1A"/>
    <w:rsid w:val="00E72C15"/>
    <w:rsid w:val="00E76C99"/>
    <w:rsid w:val="00E777D3"/>
    <w:rsid w:val="00E83815"/>
    <w:rsid w:val="00EA0C7E"/>
    <w:rsid w:val="00EA2007"/>
    <w:rsid w:val="00EB4FE0"/>
    <w:rsid w:val="00EE2B4F"/>
    <w:rsid w:val="00EF08C8"/>
    <w:rsid w:val="00F03BE7"/>
    <w:rsid w:val="00F10C08"/>
    <w:rsid w:val="00F23E98"/>
    <w:rsid w:val="00F47316"/>
    <w:rsid w:val="00F50375"/>
    <w:rsid w:val="00F607C2"/>
    <w:rsid w:val="00F82839"/>
    <w:rsid w:val="00F905E2"/>
    <w:rsid w:val="00FB7E47"/>
    <w:rsid w:val="00FC001F"/>
    <w:rsid w:val="00FD5A61"/>
    <w:rsid w:val="00FF31C6"/>
    <w:rsid w:val="06282A79"/>
    <w:rsid w:val="080757D5"/>
    <w:rsid w:val="09EB15DF"/>
    <w:rsid w:val="0B3C3800"/>
    <w:rsid w:val="0E875D78"/>
    <w:rsid w:val="0EBB535A"/>
    <w:rsid w:val="0EC453E3"/>
    <w:rsid w:val="0EE51E47"/>
    <w:rsid w:val="13282B50"/>
    <w:rsid w:val="16C075C4"/>
    <w:rsid w:val="1825158E"/>
    <w:rsid w:val="19E30EAF"/>
    <w:rsid w:val="1F426124"/>
    <w:rsid w:val="209B4FAB"/>
    <w:rsid w:val="230C159F"/>
    <w:rsid w:val="25072215"/>
    <w:rsid w:val="27FF27CF"/>
    <w:rsid w:val="292F0423"/>
    <w:rsid w:val="2AE2428F"/>
    <w:rsid w:val="2F1F447F"/>
    <w:rsid w:val="334D560F"/>
    <w:rsid w:val="341E6014"/>
    <w:rsid w:val="385C55E0"/>
    <w:rsid w:val="3B3A0538"/>
    <w:rsid w:val="3BA129AE"/>
    <w:rsid w:val="3EB73CAA"/>
    <w:rsid w:val="420C1456"/>
    <w:rsid w:val="42182D1B"/>
    <w:rsid w:val="442E7C2D"/>
    <w:rsid w:val="45B53A92"/>
    <w:rsid w:val="49DB6561"/>
    <w:rsid w:val="4FAC595F"/>
    <w:rsid w:val="501626F4"/>
    <w:rsid w:val="510F4989"/>
    <w:rsid w:val="511E47E5"/>
    <w:rsid w:val="538E4F63"/>
    <w:rsid w:val="56F35E44"/>
    <w:rsid w:val="600E331C"/>
    <w:rsid w:val="60F214DC"/>
    <w:rsid w:val="613715A9"/>
    <w:rsid w:val="621A05DD"/>
    <w:rsid w:val="63375D4F"/>
    <w:rsid w:val="653D51EC"/>
    <w:rsid w:val="691849FB"/>
    <w:rsid w:val="692C61E4"/>
    <w:rsid w:val="6BD22CD0"/>
    <w:rsid w:val="6CD60251"/>
    <w:rsid w:val="6E991F7C"/>
    <w:rsid w:val="716544D1"/>
    <w:rsid w:val="727C4434"/>
    <w:rsid w:val="75A76B9E"/>
    <w:rsid w:val="76F82C50"/>
    <w:rsid w:val="7837057F"/>
    <w:rsid w:val="7A6C181D"/>
    <w:rsid w:val="7FFA00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spacing w:line="360" w:lineRule="auto"/>
    </w:pPr>
    <w:rPr>
      <w:lang w:val="zh-CN"/>
    </w:rPr>
  </w:style>
  <w:style w:type="paragraph" w:styleId="3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4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Document Map"/>
    <w:basedOn w:val="1"/>
    <w:link w:val="19"/>
    <w:semiHidden/>
    <w:unhideWhenUsed/>
    <w:qFormat/>
    <w:uiPriority w:val="99"/>
    <w:rPr>
      <w:rFonts w:ascii="宋体"/>
      <w:kern w:val="0"/>
      <w:sz w:val="18"/>
      <w:szCs w:val="18"/>
      <w:lang w:val="zh-CN"/>
    </w:rPr>
  </w:style>
  <w:style w:type="paragraph" w:styleId="7">
    <w:name w:val="Balloon Text"/>
    <w:basedOn w:val="1"/>
    <w:link w:val="20"/>
    <w:semiHidden/>
    <w:unhideWhenUsed/>
    <w:qFormat/>
    <w:uiPriority w:val="99"/>
    <w:rPr>
      <w:sz w:val="18"/>
      <w:szCs w:val="18"/>
      <w:lang w:val="zh-CN"/>
    </w:rPr>
  </w:style>
  <w:style w:type="paragraph" w:styleId="8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9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0">
    <w:name w:val="Normal (Web)"/>
    <w:basedOn w:val="1"/>
    <w:semiHidden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styleId="12">
    <w:name w:val="page number"/>
    <w:basedOn w:val="11"/>
    <w:qFormat/>
    <w:uiPriority w:val="0"/>
  </w:style>
  <w:style w:type="character" w:styleId="13">
    <w:name w:val="Hyperlink"/>
    <w:semiHidden/>
    <w:unhideWhenUsed/>
    <w:qFormat/>
    <w:uiPriority w:val="99"/>
    <w:rPr>
      <w:color w:val="000000"/>
      <w:u w:val="none"/>
    </w:rPr>
  </w:style>
  <w:style w:type="character" w:styleId="14">
    <w:name w:val="annotation reference"/>
    <w:semiHidden/>
    <w:unhideWhenUsed/>
    <w:qFormat/>
    <w:uiPriority w:val="99"/>
    <w:rPr>
      <w:sz w:val="21"/>
      <w:szCs w:val="21"/>
    </w:rPr>
  </w:style>
  <w:style w:type="table" w:styleId="1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7">
    <w:name w:val="页眉 Char"/>
    <w:link w:val="9"/>
    <w:qFormat/>
    <w:uiPriority w:val="99"/>
    <w:rPr>
      <w:sz w:val="18"/>
      <w:szCs w:val="18"/>
    </w:rPr>
  </w:style>
  <w:style w:type="character" w:customStyle="1" w:styleId="18">
    <w:name w:val="页脚 Char"/>
    <w:link w:val="8"/>
    <w:qFormat/>
    <w:uiPriority w:val="99"/>
    <w:rPr>
      <w:sz w:val="18"/>
      <w:szCs w:val="18"/>
    </w:rPr>
  </w:style>
  <w:style w:type="character" w:customStyle="1" w:styleId="19">
    <w:name w:val="文档结构图 Char"/>
    <w:link w:val="6"/>
    <w:semiHidden/>
    <w:qFormat/>
    <w:uiPriority w:val="99"/>
    <w:rPr>
      <w:rFonts w:ascii="宋体" w:hAnsi="Calibri" w:eastAsia="宋体" w:cs="Times New Roman"/>
      <w:sz w:val="18"/>
      <w:szCs w:val="18"/>
    </w:rPr>
  </w:style>
  <w:style w:type="character" w:customStyle="1" w:styleId="20">
    <w:name w:val="批注框文本 Char"/>
    <w:link w:val="7"/>
    <w:semiHidden/>
    <w:qFormat/>
    <w:uiPriority w:val="99"/>
    <w:rPr>
      <w:kern w:val="2"/>
      <w:sz w:val="18"/>
      <w:szCs w:val="18"/>
    </w:rPr>
  </w:style>
  <w:style w:type="paragraph" w:customStyle="1" w:styleId="21">
    <w:name w:val="列出段落1"/>
    <w:basedOn w:val="1"/>
    <w:qFormat/>
    <w:uiPriority w:val="34"/>
    <w:pPr>
      <w:ind w:firstLine="420" w:firstLineChars="200"/>
    </w:pPr>
  </w:style>
  <w:style w:type="paragraph" w:customStyle="1" w:styleId="22">
    <w:name w:val="样式 MM Topic 2 +"/>
    <w:basedOn w:val="1"/>
    <w:qFormat/>
    <w:uiPriority w:val="0"/>
    <w:pPr>
      <w:keepNext/>
      <w:keepLines/>
      <w:spacing w:before="120" w:after="120"/>
      <w:jc w:val="center"/>
      <w:outlineLvl w:val="1"/>
    </w:pPr>
    <w:rPr>
      <w:rFonts w:ascii="宋体" w:hAnsi="宋体"/>
      <w:b/>
      <w:bCs/>
      <w:kern w:val="0"/>
      <w:sz w:val="32"/>
      <w:szCs w:val="32"/>
    </w:rPr>
  </w:style>
  <w:style w:type="character" w:customStyle="1" w:styleId="23">
    <w:name w:val="页脚 字符"/>
    <w:basedOn w:val="11"/>
    <w:qFormat/>
    <w:uiPriority w:val="99"/>
  </w:style>
  <w:style w:type="character" w:customStyle="1" w:styleId="24">
    <w:name w:val="批注文字 Char"/>
    <w:link w:val="5"/>
    <w:semiHidden/>
    <w:qFormat/>
    <w:uiPriority w:val="99"/>
    <w:rPr>
      <w:kern w:val="2"/>
      <w:sz w:val="21"/>
      <w:szCs w:val="22"/>
    </w:rPr>
  </w:style>
  <w:style w:type="character" w:customStyle="1" w:styleId="25">
    <w:name w:val="批注主题 Char"/>
    <w:link w:val="4"/>
    <w:semiHidden/>
    <w:qFormat/>
    <w:uiPriority w:val="99"/>
    <w:rPr>
      <w:b/>
      <w:bCs/>
      <w:kern w:val="2"/>
      <w:sz w:val="21"/>
      <w:szCs w:val="22"/>
    </w:rPr>
  </w:style>
  <w:style w:type="table" w:customStyle="1" w:styleId="26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2.jpeg"/><Relationship Id="rId14" Type="http://schemas.openxmlformats.org/officeDocument/2006/relationships/theme" Target="theme/theme1.xml"/><Relationship Id="rId13" Type="http://schemas.openxmlformats.org/officeDocument/2006/relationships/footer" Target="footer7.xml"/><Relationship Id="rId12" Type="http://schemas.openxmlformats.org/officeDocument/2006/relationships/footer" Target="footer6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tjtobacco</Company>
  <Pages>3</Pages>
  <Words>1332</Words>
  <Characters>1371</Characters>
  <Lines>20</Lines>
  <Paragraphs>5</Paragraphs>
  <TotalTime>1</TotalTime>
  <ScaleCrop>false</ScaleCrop>
  <LinksUpToDate>false</LinksUpToDate>
  <CharactersWithSpaces>1430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2021-10-27T03:05:00Z</dcterms:created>
  <dc:creator>刘昊</dc:creator>
  <cp:lastModifiedBy>孟汉翔</cp:lastModifiedBy>
  <cp:lastPrinted>2022-10-20T10:15:00Z</cp:lastPrinted>
  <dcterms:modified xsi:type="dcterms:W3CDTF">2022-11-07T09:52:46Z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