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distribute"/>
        <w:rPr>
          <w:rFonts w:ascii="方正小标宋简体" w:eastAsia="方正小标宋简体"/>
          <w:color w:val="FF0000"/>
          <w:spacing w:val="-40"/>
          <w:w w:val="66"/>
          <w:sz w:val="120"/>
        </w:rPr>
      </w:pPr>
      <w:r>
        <w:rPr>
          <w:rFonts w:hint="eastAsia" w:ascii="方正小标宋简体" w:eastAsia="方正小标宋简体"/>
          <w:color w:val="FF0000"/>
          <w:spacing w:val="-40"/>
          <w:w w:val="66"/>
          <w:sz w:val="120"/>
        </w:rPr>
        <w:t>安徽</w:t>
      </w:r>
      <w:r>
        <w:rPr>
          <w:rFonts w:hint="eastAsia" w:ascii="方正小标宋简体" w:eastAsia="方正小标宋简体"/>
          <w:color w:val="FF0000"/>
          <w:spacing w:val="-40"/>
          <w:w w:val="66"/>
          <w:sz w:val="120"/>
          <w:lang w:val="en-US" w:eastAsia="zh-CN"/>
        </w:rPr>
        <w:t>电力燃料</w:t>
      </w:r>
      <w:r>
        <w:rPr>
          <w:rFonts w:hint="eastAsia" w:ascii="方正小标宋简体" w:eastAsia="方正小标宋简体"/>
          <w:color w:val="FF0000"/>
          <w:spacing w:val="-40"/>
          <w:w w:val="66"/>
          <w:sz w:val="120"/>
        </w:rPr>
        <w:t>有限</w:t>
      </w:r>
      <w:r>
        <w:rPr>
          <w:rFonts w:hint="eastAsia" w:ascii="方正小标宋简体" w:eastAsia="方正小标宋简体"/>
          <w:color w:val="FF0000"/>
          <w:spacing w:val="-40"/>
          <w:w w:val="66"/>
          <w:sz w:val="120"/>
          <w:lang w:val="en-US" w:eastAsia="zh-CN"/>
        </w:rPr>
        <w:t>责任</w:t>
      </w:r>
      <w:r>
        <w:rPr>
          <w:rFonts w:hint="eastAsia" w:ascii="方正小标宋简体" w:eastAsia="方正小标宋简体"/>
          <w:color w:val="FF0000"/>
          <w:spacing w:val="-40"/>
          <w:w w:val="66"/>
          <w:sz w:val="120"/>
        </w:rPr>
        <w:t>公司</w:t>
      </w: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single" w:color="FF0000" w:sz="24" w:space="0"/>
          <w:right w:val="none" w:color="auto" w:sz="0" w:space="0"/>
          <w:insideH w:val="single" w:color="FF0000" w:sz="24" w:space="0"/>
          <w:insideV w:val="single" w:color="FF0000" w:sz="2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none" w:color="auto" w:sz="0" w:space="0"/>
            <w:left w:val="none" w:color="auto" w:sz="0" w:space="0"/>
            <w:bottom w:val="single" w:color="FF0000" w:sz="24" w:space="0"/>
            <w:right w:val="none" w:color="auto" w:sz="0" w:space="0"/>
            <w:insideH w:val="single" w:color="FF0000" w:sz="24" w:space="0"/>
            <w:insideV w:val="single" w:color="FF0000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  <w:noWrap w:val="0"/>
            <w:vAlign w:val="top"/>
          </w:tcPr>
          <w:p>
            <w:pPr>
              <w:jc w:val="center"/>
              <w:rPr>
                <w:rFonts w:ascii="仿宋" w:eastAsia="仿宋"/>
                <w:sz w:val="32"/>
              </w:rPr>
            </w:pPr>
          </w:p>
        </w:tc>
      </w:tr>
    </w:tbl>
    <w:p>
      <w:pPr>
        <w:spacing w:line="580" w:lineRule="exact"/>
        <w:rPr>
          <w:rFonts w:ascii="仿宋" w:eastAsia="仿宋"/>
          <w:sz w:val="32"/>
        </w:rPr>
      </w:pPr>
    </w:p>
    <w:p>
      <w:pPr>
        <w:spacing w:line="580" w:lineRule="exact"/>
        <w:rPr>
          <w:rFonts w:hint="eastAsia" w:ascii="仿宋" w:eastAsia="仿宋"/>
          <w:sz w:val="32"/>
        </w:rPr>
      </w:pPr>
    </w:p>
    <w:p>
      <w:pPr>
        <w:spacing w:line="680" w:lineRule="exact"/>
        <w:jc w:val="center"/>
        <w:rPr>
          <w:rFonts w:hint="eastAsia" w:ascii="方正小标宋简体" w:eastAsia="方正小标宋简体"/>
          <w:sz w:val="44"/>
          <w:szCs w:val="44"/>
          <w:lang w:eastAsia="zh-CN"/>
        </w:rPr>
      </w:pPr>
      <w:bookmarkStart w:id="0" w:name="subject"/>
      <w:r>
        <w:rPr>
          <w:rFonts w:hint="eastAsia" w:ascii="方正小标宋简体" w:eastAsia="方正小标宋简体"/>
          <w:sz w:val="44"/>
          <w:szCs w:val="44"/>
          <w:lang w:eastAsia="zh-CN"/>
        </w:rPr>
        <w:t>关于印发《安徽电力燃料有限责任公司</w:t>
      </w:r>
    </w:p>
    <w:p>
      <w:pPr>
        <w:spacing w:line="680" w:lineRule="exact"/>
        <w:jc w:val="center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信息公开管理办法》的通知</w:t>
      </w:r>
      <w:bookmarkEnd w:id="0"/>
    </w:p>
    <w:p>
      <w:pPr>
        <w:spacing w:line="580" w:lineRule="exact"/>
        <w:rPr>
          <w:rFonts w:ascii="仿宋" w:eastAsia="仿宋"/>
          <w:sz w:val="32"/>
        </w:rPr>
      </w:pPr>
    </w:p>
    <w:p>
      <w:pPr>
        <w:snapToGrid w:val="0"/>
        <w:spacing w:line="580" w:lineRule="exact"/>
        <w:ind w:firstLine="0" w:firstLineChars="0"/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val="en-US" w:eastAsia="zh-CN"/>
        </w:rPr>
        <w:t>长能公司、公司各部（室）：</w:t>
      </w:r>
    </w:p>
    <w:p>
      <w:pPr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val="en-US" w:eastAsia="zh-CN"/>
        </w:rPr>
        <w:t>《安徽电力燃料有限责任公司信息公开管理办法》经公司会议研究通过，现印发给你们，请遵照执行。</w:t>
      </w:r>
    </w:p>
    <w:p>
      <w:pPr>
        <w:snapToGrid w:val="0"/>
        <w:spacing w:line="580" w:lineRule="exact"/>
        <w:ind w:firstLine="0" w:firstLineChars="0"/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val="en-US" w:eastAsia="zh-CN"/>
        </w:rPr>
      </w:pPr>
    </w:p>
    <w:p>
      <w:pPr>
        <w:snapToGrid w:val="0"/>
        <w:spacing w:line="580" w:lineRule="exact"/>
        <w:ind w:firstLine="0" w:firstLineChars="0"/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val="en-US" w:eastAsia="zh-CN"/>
        </w:rPr>
      </w:pPr>
    </w:p>
    <w:p>
      <w:pPr>
        <w:snapToGrid w:val="0"/>
        <w:spacing w:line="580" w:lineRule="exact"/>
        <w:ind w:firstLine="0" w:firstLineChars="0"/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val="en-US" w:eastAsia="zh-CN"/>
        </w:rPr>
      </w:pPr>
    </w:p>
    <w:p>
      <w:pPr>
        <w:snapToGrid w:val="0"/>
        <w:spacing w:line="580" w:lineRule="exact"/>
        <w:ind w:firstLine="0" w:firstLineChars="0"/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val="en-US" w:eastAsia="zh-CN"/>
        </w:rPr>
        <w:t xml:space="preserve">                               2022年10月28日</w:t>
      </w:r>
    </w:p>
    <w:p>
      <w:pPr>
        <w:widowControl/>
        <w:spacing w:line="580" w:lineRule="exact"/>
        <w:ind w:firstLine="0" w:firstLineChars="0"/>
        <w:jc w:val="center"/>
        <w:rPr>
          <w:rFonts w:hint="eastAsia" w:ascii="仿宋" w:hAnsi="仿宋" w:eastAsia="仿宋" w:cs="仿宋"/>
          <w:b w:val="0"/>
          <w:color w:val="auto"/>
          <w:spacing w:val="0"/>
          <w:sz w:val="32"/>
          <w:szCs w:val="44"/>
        </w:rPr>
      </w:pPr>
    </w:p>
    <w:p>
      <w:pPr>
        <w:widowControl/>
        <w:spacing w:line="580" w:lineRule="exact"/>
        <w:ind w:firstLine="0" w:firstLineChars="0"/>
        <w:jc w:val="center"/>
        <w:rPr>
          <w:rFonts w:hint="eastAsia" w:ascii="仿宋" w:hAnsi="仿宋" w:eastAsia="仿宋" w:cs="仿宋"/>
          <w:b w:val="0"/>
          <w:color w:val="auto"/>
          <w:spacing w:val="0"/>
          <w:sz w:val="32"/>
          <w:szCs w:val="44"/>
        </w:rPr>
      </w:pPr>
    </w:p>
    <w:p>
      <w:pPr>
        <w:widowControl/>
        <w:spacing w:line="580" w:lineRule="exact"/>
        <w:ind w:firstLine="0" w:firstLineChars="0"/>
        <w:jc w:val="center"/>
        <w:rPr>
          <w:rFonts w:hint="eastAsia" w:ascii="仿宋" w:hAnsi="仿宋" w:eastAsia="仿宋" w:cs="仿宋"/>
          <w:b w:val="0"/>
          <w:color w:val="auto"/>
          <w:spacing w:val="0"/>
          <w:sz w:val="32"/>
          <w:szCs w:val="44"/>
        </w:rPr>
      </w:pPr>
    </w:p>
    <w:p>
      <w:pPr>
        <w:widowControl/>
        <w:spacing w:line="580" w:lineRule="exact"/>
        <w:ind w:firstLine="0" w:firstLineChars="0"/>
        <w:jc w:val="center"/>
        <w:rPr>
          <w:rFonts w:hint="eastAsia" w:ascii="仿宋" w:hAnsi="仿宋" w:eastAsia="仿宋" w:cs="仿宋"/>
          <w:b w:val="0"/>
          <w:color w:val="auto"/>
          <w:spacing w:val="0"/>
          <w:sz w:val="32"/>
          <w:szCs w:val="44"/>
        </w:rPr>
      </w:pPr>
    </w:p>
    <w:p>
      <w:pPr>
        <w:widowControl/>
        <w:spacing w:line="580" w:lineRule="exact"/>
        <w:ind w:firstLine="0" w:firstLineChars="0"/>
        <w:jc w:val="both"/>
        <w:rPr>
          <w:rFonts w:hint="eastAsia" w:ascii="仿宋" w:hAnsi="仿宋" w:eastAsia="仿宋" w:cs="仿宋"/>
          <w:b w:val="0"/>
          <w:color w:val="auto"/>
          <w:spacing w:val="0"/>
          <w:sz w:val="32"/>
          <w:szCs w:val="4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540" w:lineRule="exact"/>
        <w:ind w:firstLine="0" w:firstLineChars="0"/>
        <w:contextualSpacing/>
        <w:jc w:val="center"/>
        <w:textAlignment w:val="auto"/>
        <w:outlineLvl w:val="0"/>
        <w:rPr>
          <w:rFonts w:hint="eastAsia" w:ascii="仿宋" w:hAnsi="仿宋" w:eastAsia="仿宋" w:cs="仿宋"/>
          <w:b w:val="0"/>
          <w:color w:val="auto"/>
          <w:spacing w:val="0"/>
          <w:kern w:val="0"/>
          <w:sz w:val="32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color w:val="auto"/>
          <w:spacing w:val="0"/>
          <w:kern w:val="0"/>
          <w:sz w:val="44"/>
          <w:szCs w:val="44"/>
        </w:rPr>
        <w:t>安徽</w:t>
      </w:r>
      <w:r>
        <w:rPr>
          <w:rFonts w:hint="eastAsia" w:ascii="方正小标宋_GBK" w:hAnsi="方正小标宋_GBK" w:eastAsia="方正小标宋_GBK" w:cs="方正小标宋_GBK"/>
          <w:b w:val="0"/>
          <w:color w:val="auto"/>
          <w:spacing w:val="0"/>
          <w:kern w:val="0"/>
          <w:sz w:val="44"/>
          <w:szCs w:val="44"/>
          <w:lang w:val="en-US" w:eastAsia="zh-CN"/>
        </w:rPr>
        <w:t>电力燃料有限责任</w:t>
      </w:r>
      <w:r>
        <w:rPr>
          <w:rFonts w:hint="eastAsia" w:ascii="方正小标宋_GBK" w:hAnsi="方正小标宋_GBK" w:eastAsia="方正小标宋_GBK" w:cs="方正小标宋_GBK"/>
          <w:b w:val="0"/>
          <w:color w:val="auto"/>
          <w:spacing w:val="0"/>
          <w:kern w:val="0"/>
          <w:sz w:val="44"/>
          <w:szCs w:val="44"/>
        </w:rPr>
        <w:t>公司信息公开管理办法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0" w:firstLineChars="0"/>
        <w:jc w:val="center"/>
        <w:textAlignment w:val="auto"/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val="en-US" w:eastAsia="zh-CN"/>
        </w:rPr>
        <w:t>2022年10月制订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0" w:firstLineChars="0"/>
        <w:jc w:val="center"/>
        <w:textAlignment w:val="auto"/>
        <w:rPr>
          <w:rFonts w:hint="eastAsia" w:ascii="仿宋" w:hAnsi="仿宋" w:eastAsia="仿宋" w:cs="仿宋"/>
          <w:b w:val="0"/>
          <w:color w:val="auto"/>
          <w:spacing w:val="0"/>
          <w:sz w:val="32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0" w:firstLineChars="0"/>
        <w:jc w:val="center"/>
        <w:textAlignment w:val="auto"/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color w:val="auto"/>
          <w:spacing w:val="0"/>
          <w:sz w:val="32"/>
          <w:szCs w:val="32"/>
        </w:rPr>
        <w:t>第一章  总  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color w:val="auto"/>
          <w:spacing w:val="0"/>
          <w:sz w:val="32"/>
          <w:szCs w:val="32"/>
        </w:rPr>
        <w:t>第一条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为规范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val="en-US" w:eastAsia="zh-CN"/>
        </w:rPr>
        <w:t>安徽电力燃料有限责任公司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（以下简称“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val="en-US" w:eastAsia="zh-CN"/>
        </w:rPr>
        <w:t>电燃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公司”）信息公开工作，提高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eastAsia="zh-CN"/>
        </w:rPr>
        <w:t>电燃公司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工作透明度，主动接受社会监督，根据《省国资委关于推进省属企业信息公开的指导意见》（皖国资办〔2017〕204号）及2021年7月9日下发的《省国资委关于进一步推进省属企业信息公开工作的通知》等文件精神，结合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eastAsia="zh-CN"/>
        </w:rPr>
        <w:t>电燃公司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实际，特制定本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val="en-US" w:eastAsia="zh-CN"/>
        </w:rPr>
        <w:t>办法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color w:val="auto"/>
          <w:spacing w:val="0"/>
          <w:sz w:val="32"/>
          <w:szCs w:val="32"/>
        </w:rPr>
        <w:t>第二条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eastAsia="zh-CN"/>
        </w:rPr>
        <w:t>电燃公司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针对不同的信息选择适合的公开方式，包括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val="en-US" w:eastAsia="zh-CN"/>
        </w:rPr>
        <w:t>集团公司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门户网站、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val="en-US" w:eastAsia="zh-CN"/>
        </w:rPr>
        <w:t>信息公开栏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 xml:space="preserve">等。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color w:val="auto"/>
          <w:spacing w:val="0"/>
          <w:sz w:val="32"/>
          <w:szCs w:val="32"/>
        </w:rPr>
        <w:t xml:space="preserve">第三条 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val="en-US" w:eastAsia="zh-CN"/>
        </w:rPr>
        <w:t>总经理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办公室作为信息公开的牵头部门，负责制订管理制度及日常工作；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eastAsia="zh-CN"/>
        </w:rPr>
        <w:t>电燃公司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各部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val="en-US" w:eastAsia="zh-CN"/>
        </w:rPr>
        <w:t>室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eastAsia="zh-CN"/>
        </w:rPr>
        <w:t>）、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val="en-US" w:eastAsia="zh-CN"/>
        </w:rPr>
        <w:t>长能公司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依据本制度，在职责范围内做好信息公开工作。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0" w:firstLineChars="0"/>
        <w:jc w:val="center"/>
        <w:textAlignment w:val="auto"/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0" w:firstLineChars="0"/>
        <w:jc w:val="center"/>
        <w:textAlignment w:val="auto"/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color w:val="auto"/>
          <w:spacing w:val="0"/>
          <w:sz w:val="32"/>
          <w:szCs w:val="32"/>
        </w:rPr>
        <w:t>第二章  信息公开的原则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color w:val="auto"/>
          <w:spacing w:val="0"/>
          <w:sz w:val="32"/>
          <w:szCs w:val="32"/>
        </w:rPr>
        <w:t>第四条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信息公开坚持依法合规、真实准确、及时公开并严格责任的原则。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（一）依法合规。公开的信息必须依法合规，严格遵循法律、法规和相关规定，依法确定信息公开的内容、方式、范围和程序，严格保护国家秘密和商业秘密。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（二）真实准确。公开的信息应当真实、准确，不得有虚假记载、误导性陈述或者重大遗漏。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（三）及时公开。应当公开的信息应采取适当方式及时公开，不得隐瞒、拖延或不公开。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（四）严格责任。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eastAsia="zh-CN"/>
        </w:rPr>
        <w:t>电燃公司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相关部门按照“谁形成谁公开，谁公开谁负责”的原则，对提供的公开信息负责。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0" w:firstLineChars="0"/>
        <w:jc w:val="center"/>
        <w:textAlignment w:val="auto"/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0" w:firstLineChars="0"/>
        <w:jc w:val="center"/>
        <w:textAlignment w:val="auto"/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color w:val="auto"/>
          <w:spacing w:val="0"/>
          <w:sz w:val="32"/>
          <w:szCs w:val="32"/>
        </w:rPr>
        <w:t>第三章  信息公开的内容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/>
          <w:color w:val="auto"/>
          <w:spacing w:val="0"/>
          <w:sz w:val="32"/>
          <w:szCs w:val="32"/>
        </w:rPr>
        <w:t>第五条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   信息公开的内容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（一）企业信息：主要包括企业简介、组织架构、高管人员、工商注册登记等企业基本信息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（二）经济信息：主要包括企业年度主要财务经营情况、年度国有资本保值增值情况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（三）“三重一大”事项：主要包括重大决策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val="en-US" w:eastAsia="zh-CN"/>
        </w:rPr>
        <w:t>事项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重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val="en-US" w:eastAsia="zh-CN"/>
        </w:rPr>
        <w:t>要干部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任免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重大项目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val="en-US" w:eastAsia="zh-CN"/>
        </w:rPr>
        <w:t>投资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安排及大额资金运作等情况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（四）扶贫帮困等企业履行社会责任情况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val="en-US" w:eastAsia="zh-CN"/>
        </w:rPr>
        <w:t>企业党建情况；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（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）有关部门依法要求公开的监督检查问题整改情况、重大突发事件事态发展和应急处置情况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（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）其他依照法律法规规定应当主动公开的信息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/>
          <w:color w:val="auto"/>
          <w:spacing w:val="0"/>
          <w:sz w:val="32"/>
          <w:szCs w:val="32"/>
        </w:rPr>
        <w:t>第六条</w:t>
      </w:r>
      <w:r>
        <w:rPr>
          <w:rFonts w:hint="eastAsia" w:ascii="仿宋" w:hAnsi="仿宋" w:eastAsia="仿宋" w:cs="仿宋"/>
          <w:b w:val="0"/>
          <w:bCs/>
          <w:color w:val="auto"/>
          <w:spacing w:val="0"/>
          <w:sz w:val="32"/>
          <w:szCs w:val="32"/>
        </w:rPr>
        <w:t xml:space="preserve">  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不予公开的信息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（一）涉及国家秘密的信息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涉及商业秘密、个人隐私的信息。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（二）公开后可能会影响检查、调查取证、审议等执法活动的信息。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（三）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eastAsia="zh-CN"/>
        </w:rPr>
        <w:t>电燃公司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认定的可能对他人隐私和名誉构成侵害、对相关人员合法权益造成损害、对企业及社会的正常秩序带来影响的信息。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（四）其他法律、行政法规规定不予公开的信息。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0" w:firstLineChars="0"/>
        <w:textAlignment w:val="auto"/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0" w:firstLineChars="0"/>
        <w:jc w:val="center"/>
        <w:textAlignment w:val="auto"/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color w:val="auto"/>
          <w:spacing w:val="0"/>
          <w:sz w:val="32"/>
          <w:szCs w:val="32"/>
        </w:rPr>
        <w:t>第四章  审批流程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/>
          <w:color w:val="auto"/>
          <w:spacing w:val="0"/>
          <w:sz w:val="32"/>
          <w:szCs w:val="32"/>
        </w:rPr>
        <w:t>第七条</w:t>
      </w:r>
      <w:r>
        <w:rPr>
          <w:rFonts w:hint="eastAsia" w:ascii="仿宋" w:hAnsi="仿宋" w:eastAsia="仿宋" w:cs="仿宋"/>
          <w:b w:val="0"/>
          <w:bCs/>
          <w:color w:val="auto"/>
          <w:spacing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 需采用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val="en-US" w:eastAsia="zh-CN"/>
        </w:rPr>
        <w:t>皖能股份</w:t>
      </w:r>
      <w:bookmarkStart w:id="1" w:name="_GoBack"/>
      <w:bookmarkEnd w:id="1"/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val="en-US" w:eastAsia="zh-CN"/>
        </w:rPr>
        <w:t>公司官网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形式公开的信息，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val="en-US" w:eastAsia="zh-CN"/>
        </w:rPr>
        <w:t>参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照《安徽省能源集团有限公司网站信息发布管理办法》执行。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/>
          <w:color w:val="auto"/>
          <w:spacing w:val="0"/>
          <w:sz w:val="32"/>
          <w:szCs w:val="32"/>
        </w:rPr>
        <w:t>第八条</w:t>
      </w:r>
      <w:r>
        <w:rPr>
          <w:rFonts w:hint="eastAsia" w:ascii="仿宋" w:hAnsi="仿宋" w:eastAsia="仿宋" w:cs="仿宋"/>
          <w:b w:val="0"/>
          <w:bCs/>
          <w:color w:val="auto"/>
          <w:spacing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 xml:space="preserve"> 需采用其他形式公开的信息，经相关部门负责人、分管领导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val="en-US" w:eastAsia="zh-CN"/>
        </w:rPr>
        <w:t>审核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同意，提交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eastAsia="zh-CN"/>
        </w:rPr>
        <w:t>电燃公司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主要领导审批后方可公开。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0" w:firstLineChars="0"/>
        <w:jc w:val="center"/>
        <w:textAlignment w:val="auto"/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0" w:firstLineChars="0"/>
        <w:jc w:val="center"/>
        <w:textAlignment w:val="auto"/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color w:val="auto"/>
          <w:spacing w:val="0"/>
          <w:sz w:val="32"/>
          <w:szCs w:val="32"/>
        </w:rPr>
        <w:t>第五章  保密审查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b w:val="0"/>
          <w:bCs/>
          <w:color w:val="auto"/>
          <w:spacing w:val="0"/>
          <w:sz w:val="32"/>
          <w:szCs w:val="32"/>
        </w:rPr>
        <w:t>第九条</w:t>
      </w:r>
      <w:r>
        <w:rPr>
          <w:rFonts w:hint="eastAsia" w:ascii="楷体" w:hAnsi="楷体" w:eastAsia="楷体" w:cs="楷体"/>
          <w:b w:val="0"/>
          <w:bCs/>
          <w:color w:val="auto"/>
          <w:spacing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eastAsia="zh-CN"/>
        </w:rPr>
        <w:t>电燃公司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在公开信息前，应当依照《中华人民共和国保守国家秘密法》以及其他法律、法规的规定，对拟公开信息进行保密审查，对信息不能确定是否涉密时，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highlight w:val="none"/>
        </w:rPr>
        <w:t>应当报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highlight w:val="none"/>
          <w:lang w:val="en-US" w:eastAsia="zh-CN"/>
        </w:rPr>
        <w:t>集团公司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highlight w:val="none"/>
        </w:rPr>
        <w:t xml:space="preserve">保密委员会办公室确定。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textAlignment w:val="auto"/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0" w:firstLineChars="0"/>
        <w:jc w:val="center"/>
        <w:textAlignment w:val="auto"/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color w:val="auto"/>
          <w:spacing w:val="0"/>
          <w:sz w:val="32"/>
          <w:szCs w:val="32"/>
        </w:rPr>
        <w:t>第六章  附  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/>
          <w:color w:val="auto"/>
          <w:spacing w:val="0"/>
          <w:sz w:val="32"/>
          <w:szCs w:val="32"/>
        </w:rPr>
        <w:t>第十条</w:t>
      </w:r>
      <w:r>
        <w:rPr>
          <w:rFonts w:hint="eastAsia" w:ascii="楷体" w:hAnsi="楷体" w:eastAsia="楷体" w:cs="楷体"/>
          <w:b w:val="0"/>
          <w:bCs/>
          <w:color w:val="auto"/>
          <w:spacing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本办法由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val="en-US" w:eastAsia="zh-CN"/>
        </w:rPr>
        <w:t>总经理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办公室负责解释，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  <w:lang w:val="en-US" w:eastAsia="zh-CN"/>
        </w:rPr>
        <w:t>长能公司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参照执行。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/>
          <w:color w:val="auto"/>
          <w:spacing w:val="0"/>
          <w:sz w:val="32"/>
          <w:szCs w:val="32"/>
        </w:rPr>
        <w:t>第十</w:t>
      </w:r>
      <w:r>
        <w:rPr>
          <w:rFonts w:hint="eastAsia" w:ascii="楷体" w:hAnsi="楷体" w:eastAsia="楷体" w:cs="楷体"/>
          <w:b w:val="0"/>
          <w:bCs/>
          <w:color w:val="auto"/>
          <w:spacing w:val="0"/>
          <w:sz w:val="32"/>
          <w:szCs w:val="32"/>
          <w:lang w:val="en-US" w:eastAsia="zh-CN"/>
        </w:rPr>
        <w:t>一</w:t>
      </w:r>
      <w:r>
        <w:rPr>
          <w:rFonts w:hint="eastAsia" w:ascii="楷体" w:hAnsi="楷体" w:eastAsia="楷体" w:cs="楷体"/>
          <w:b w:val="0"/>
          <w:bCs/>
          <w:color w:val="auto"/>
          <w:spacing w:val="0"/>
          <w:sz w:val="32"/>
          <w:szCs w:val="32"/>
        </w:rPr>
        <w:t>条</w:t>
      </w:r>
      <w:r>
        <w:rPr>
          <w:rFonts w:hint="eastAsia" w:ascii="楷体" w:hAnsi="楷体" w:eastAsia="楷体" w:cs="楷体"/>
          <w:b w:val="0"/>
          <w:bCs/>
          <w:color w:val="auto"/>
          <w:spacing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spacing w:val="0"/>
          <w:sz w:val="32"/>
          <w:szCs w:val="32"/>
        </w:rPr>
        <w:t>本办法自印发之日起施行。</w:t>
      </w:r>
    </w:p>
    <w:p>
      <w:pPr>
        <w:spacing w:line="580" w:lineRule="exact"/>
        <w:rPr>
          <w:rFonts w:ascii="仿宋" w:eastAsia="仿宋"/>
          <w:sz w:val="32"/>
        </w:rPr>
      </w:pPr>
    </w:p>
    <w:p>
      <w:pPr>
        <w:spacing w:line="20" w:lineRule="exact"/>
        <w:rPr>
          <w:rFonts w:hint="eastAsia" w:ascii="仿宋" w:eastAsia="仿宋"/>
          <w:sz w:val="32"/>
        </w:rPr>
      </w:pPr>
    </w:p>
    <w:sectPr>
      <w:footerReference r:id="rId3" w:type="default"/>
      <w:footerReference r:id="rId4" w:type="even"/>
      <w:pgSz w:w="11906" w:h="16838"/>
      <w:pgMar w:top="2098" w:right="1304" w:bottom="1814" w:left="1588" w:header="851" w:footer="1588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280"/>
      <w:jc w:val="right"/>
      <w:rPr>
        <w:rFonts w:hint="eastAsia" w:ascii="宋体" w:hAnsi="宋体"/>
        <w:sz w:val="28"/>
        <w:szCs w:val="28"/>
      </w:rPr>
    </w:pPr>
    <w:r>
      <w:rPr>
        <w:sz w:val="28"/>
      </w:rPr>
      <w:pict>
        <v:shape id="文本框 8" o:spid="_x0000_s4097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">
          <v:path/>
          <v:fill on="f" focussize="0,0"/>
          <v:stroke on="f" weight="0.5pt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jc w:val="right"/>
                  <w:rPr>
                    <w:sz w:val="28"/>
                    <w:szCs w:val="28"/>
                  </w:rPr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/>
                    <w:sz w:val="28"/>
                    <w:szCs w:val="28"/>
                  </w:rPr>
                  <w:instrText xml:space="preserve"> PAGE   \* MERGEFORMAT 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/>
                    <w:sz w:val="28"/>
                    <w:szCs w:val="28"/>
                    <w:lang w:val="zh-CN"/>
                  </w:rPr>
                  <w:t>-</w:t>
                </w:r>
                <w:r>
                  <w:rPr>
                    <w:rFonts w:ascii="宋体" w:hAnsi="宋体"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dit="readOnly"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KGWebUrl" w:val="http://oa.wenergy.com.cn:80/seeyon/officeservlet"/>
  </w:docVars>
  <w:rsids>
    <w:rsidRoot w:val="4446048F"/>
    <w:rsid w:val="000033EA"/>
    <w:rsid w:val="00045E8D"/>
    <w:rsid w:val="000806ED"/>
    <w:rsid w:val="00083A49"/>
    <w:rsid w:val="000E50D8"/>
    <w:rsid w:val="00145707"/>
    <w:rsid w:val="00163B05"/>
    <w:rsid w:val="00164EAD"/>
    <w:rsid w:val="00206180"/>
    <w:rsid w:val="00233E72"/>
    <w:rsid w:val="0025529E"/>
    <w:rsid w:val="002B17C9"/>
    <w:rsid w:val="002C2364"/>
    <w:rsid w:val="00300884"/>
    <w:rsid w:val="003726AE"/>
    <w:rsid w:val="003A1BAA"/>
    <w:rsid w:val="003B0CE7"/>
    <w:rsid w:val="003C252C"/>
    <w:rsid w:val="00424D77"/>
    <w:rsid w:val="00426B51"/>
    <w:rsid w:val="004351BE"/>
    <w:rsid w:val="00471CA7"/>
    <w:rsid w:val="00496627"/>
    <w:rsid w:val="00526671"/>
    <w:rsid w:val="00533B95"/>
    <w:rsid w:val="00541980"/>
    <w:rsid w:val="00584310"/>
    <w:rsid w:val="005A64EB"/>
    <w:rsid w:val="005D5BE9"/>
    <w:rsid w:val="00605FEA"/>
    <w:rsid w:val="006620E6"/>
    <w:rsid w:val="006633ED"/>
    <w:rsid w:val="00690E58"/>
    <w:rsid w:val="006B536F"/>
    <w:rsid w:val="0070245A"/>
    <w:rsid w:val="007510F1"/>
    <w:rsid w:val="0075404F"/>
    <w:rsid w:val="00777921"/>
    <w:rsid w:val="007E2D58"/>
    <w:rsid w:val="00873C04"/>
    <w:rsid w:val="008D472B"/>
    <w:rsid w:val="00980427"/>
    <w:rsid w:val="009917F1"/>
    <w:rsid w:val="009E4CDF"/>
    <w:rsid w:val="00A53AE2"/>
    <w:rsid w:val="00A94DBF"/>
    <w:rsid w:val="00B06041"/>
    <w:rsid w:val="00B06355"/>
    <w:rsid w:val="00B40549"/>
    <w:rsid w:val="00B67DF8"/>
    <w:rsid w:val="00B7270D"/>
    <w:rsid w:val="00B95B58"/>
    <w:rsid w:val="00C03906"/>
    <w:rsid w:val="00C05367"/>
    <w:rsid w:val="00C17536"/>
    <w:rsid w:val="00CC2E66"/>
    <w:rsid w:val="00CE5DA0"/>
    <w:rsid w:val="00D44599"/>
    <w:rsid w:val="00D51E0B"/>
    <w:rsid w:val="00D86F17"/>
    <w:rsid w:val="00E034E6"/>
    <w:rsid w:val="00E34876"/>
    <w:rsid w:val="00E56622"/>
    <w:rsid w:val="00EF7773"/>
    <w:rsid w:val="00FA6B36"/>
    <w:rsid w:val="068745CD"/>
    <w:rsid w:val="149D6F1B"/>
    <w:rsid w:val="16025E6E"/>
    <w:rsid w:val="1D3D3611"/>
    <w:rsid w:val="35AC639E"/>
    <w:rsid w:val="3C9B30E1"/>
    <w:rsid w:val="4446048F"/>
    <w:rsid w:val="46C776DD"/>
    <w:rsid w:val="4EDE4EE9"/>
    <w:rsid w:val="57136E93"/>
    <w:rsid w:val="71B528D0"/>
    <w:rsid w:val="748F3AAD"/>
    <w:rsid w:val="74D13AFD"/>
    <w:rsid w:val="77A70D51"/>
    <w:rsid w:val="77E761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line="600" w:lineRule="exact"/>
      <w:jc w:val="center"/>
      <w:outlineLvl w:val="1"/>
    </w:pPr>
    <w:rPr>
      <w:rFonts w:ascii="Arial" w:hAnsi="Arial" w:eastAsia="方正小标宋简体" w:cs="Times New Roman"/>
      <w:sz w:val="44"/>
      <w:szCs w:val="24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宋体" w:cs="Times New Roman"/>
      <w:kern w:val="0"/>
      <w:sz w:val="24"/>
      <w:szCs w:val="22"/>
      <w:lang w:val="en-US" w:eastAsia="zh-CN" w:bidi="ar"/>
    </w:rPr>
  </w:style>
  <w:style w:type="table" w:styleId="7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link w:val="4"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2022-10-24T03:24:00Z</dcterms:created>
  <dc:creator>WPS_1513600384</dc:creator>
  <cp:lastModifiedBy>Smile</cp:lastModifiedBy>
  <dcterms:modified xsi:type="dcterms:W3CDTF">2022-10-28T09:07:18Z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