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431"/>
        <w:textAlignment w:val="auto"/>
        <w:outlineLvl w:val="9"/>
        <w:rPr>
          <w:rFonts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淮北国安电力有限公司信息公开管理办法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" w:line="560" w:lineRule="exact"/>
        <w:textAlignment w:val="auto"/>
        <w:outlineLvl w:val="9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2022年</w:t>
      </w:r>
      <w:r>
        <w:rPr>
          <w:rFonts w:hint="eastAsia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月制定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tabs>
          <w:tab w:val="left" w:pos="1279"/>
          <w:tab w:val="left" w:pos="191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317"/>
        <w:jc w:val="center"/>
        <w:textAlignment w:val="auto"/>
        <w:outlineLvl w:val="9"/>
        <w:rPr>
          <w:rFonts w:ascii="黑体" w:eastAsia="黑体"/>
        </w:rPr>
      </w:pPr>
      <w:r>
        <w:rPr>
          <w:rFonts w:hint="eastAsia" w:ascii="黑体" w:eastAsia="黑体"/>
        </w:rPr>
        <w:t>第一章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总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则</w:t>
      </w:r>
    </w:p>
    <w:p>
      <w:pPr>
        <w:pStyle w:val="2"/>
        <w:spacing w:before="8"/>
        <w:rPr>
          <w:rFonts w:ascii="黑体"/>
          <w:sz w:val="26"/>
        </w:rPr>
      </w:pPr>
      <w:bookmarkStart w:id="0" w:name="_GoBack"/>
      <w:bookmarkEnd w:id="0"/>
    </w:p>
    <w:p>
      <w:pPr>
        <w:pStyle w:val="2"/>
        <w:spacing w:line="338" w:lineRule="auto"/>
        <w:ind w:left="103" w:right="260" w:firstLine="640"/>
        <w:jc w:val="both"/>
      </w:pPr>
      <w:r>
        <w:rPr>
          <w:b/>
          <w:spacing w:val="38"/>
        </w:rPr>
        <w:t xml:space="preserve">第一条 </w:t>
      </w:r>
      <w:r>
        <w:rPr>
          <w:spacing w:val="-11"/>
        </w:rPr>
        <w:t>为规范淮北国安电力有限公司</w:t>
      </w:r>
      <w:r>
        <w:rPr>
          <w:spacing w:val="-10"/>
        </w:rPr>
        <w:t>信息公开工作，提高公司工作透明度，主动接受社</w:t>
      </w:r>
      <w:r>
        <w:rPr>
          <w:spacing w:val="-20"/>
          <w:w w:val="95"/>
        </w:rPr>
        <w:t>会监督，根据《</w:t>
      </w:r>
      <w:r>
        <w:rPr>
          <w:rFonts w:hint="eastAsia"/>
          <w:spacing w:val="-20"/>
          <w:w w:val="95"/>
        </w:rPr>
        <w:t>安徽省能源集团有限公司信息公开管理办法</w:t>
      </w:r>
      <w:r>
        <w:rPr>
          <w:spacing w:val="-20"/>
          <w:w w:val="95"/>
        </w:rPr>
        <w:t>》</w:t>
      </w:r>
      <w:r>
        <w:rPr>
          <w:spacing w:val="-13"/>
          <w:w w:val="95"/>
        </w:rPr>
        <w:t>，</w:t>
      </w:r>
      <w:r>
        <w:rPr>
          <w:spacing w:val="-13"/>
        </w:rPr>
        <w:t>结合公司实际，特制定本办法。</w:t>
      </w:r>
    </w:p>
    <w:p>
      <w:pPr>
        <w:pStyle w:val="2"/>
        <w:spacing w:before="6" w:line="338" w:lineRule="auto"/>
        <w:ind w:left="103" w:right="422" w:firstLine="645"/>
        <w:jc w:val="both"/>
      </w:pPr>
      <w:r>
        <w:rPr>
          <w:b/>
        </w:rPr>
        <w:t xml:space="preserve">第二条 </w:t>
      </w:r>
      <w:r>
        <w:t>公司针对不同的信息选择适合的公开方式，包括公司门户网站、微信公众号等。</w:t>
      </w:r>
    </w:p>
    <w:p>
      <w:pPr>
        <w:pStyle w:val="2"/>
        <w:spacing w:before="3" w:line="338" w:lineRule="auto"/>
        <w:ind w:left="103" w:right="418" w:firstLine="640"/>
        <w:jc w:val="both"/>
      </w:pPr>
      <w:r>
        <w:rPr>
          <w:b/>
          <w:spacing w:val="37"/>
        </w:rPr>
        <w:t xml:space="preserve">第三条 </w:t>
      </w:r>
      <w:r>
        <w:rPr>
          <w:rFonts w:hint="eastAsia"/>
          <w:spacing w:val="-11"/>
        </w:rPr>
        <w:t>总经理工作部</w:t>
      </w:r>
      <w:r>
        <w:rPr>
          <w:spacing w:val="-11"/>
        </w:rPr>
        <w:t>作为信息公开的牵头部门，负责制订管理制度及日常工作；公司各部（室、中心</w:t>
      </w:r>
      <w:r>
        <w:rPr>
          <w:rFonts w:hint="eastAsia"/>
          <w:spacing w:val="-11"/>
        </w:rPr>
        <w:t>、子公司</w:t>
      </w:r>
      <w:r>
        <w:rPr>
          <w:spacing w:val="-11"/>
        </w:rPr>
        <w:t>）依据本制度，在职责范围内做好信息公开工作。</w:t>
      </w:r>
    </w:p>
    <w:p>
      <w:pPr>
        <w:pStyle w:val="2"/>
        <w:spacing w:before="10"/>
        <w:rPr>
          <w:sz w:val="45"/>
        </w:rPr>
      </w:pPr>
    </w:p>
    <w:p>
      <w:pPr>
        <w:pStyle w:val="2"/>
        <w:tabs>
          <w:tab w:val="left" w:pos="1281"/>
        </w:tabs>
        <w:ind w:right="320"/>
        <w:jc w:val="center"/>
        <w:rPr>
          <w:rFonts w:ascii="黑体" w:eastAsia="黑体"/>
        </w:rPr>
      </w:pPr>
      <w:r>
        <w:rPr>
          <w:rFonts w:hint="eastAsia" w:ascii="黑体" w:eastAsia="黑体"/>
        </w:rPr>
        <w:t>第二章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信息公开的原则</w:t>
      </w:r>
    </w:p>
    <w:p>
      <w:pPr>
        <w:pStyle w:val="2"/>
        <w:spacing w:before="6"/>
        <w:rPr>
          <w:rFonts w:ascii="黑体"/>
          <w:sz w:val="26"/>
        </w:rPr>
      </w:pPr>
    </w:p>
    <w:p>
      <w:pPr>
        <w:pStyle w:val="2"/>
        <w:ind w:left="744"/>
        <w:rPr>
          <w:sz w:val="23"/>
        </w:rPr>
      </w:pPr>
      <w:r>
        <w:rPr>
          <w:b/>
        </w:rPr>
        <w:t xml:space="preserve">第四条 </w:t>
      </w:r>
      <w:r>
        <w:t>信息公开坚持依法合规、真实准确、及时公开并严</w:t>
      </w:r>
    </w:p>
    <w:p>
      <w:pPr>
        <w:pStyle w:val="2"/>
        <w:spacing w:before="55"/>
        <w:ind w:left="103"/>
      </w:pPr>
      <w:r>
        <w:t>格责任的原则。</w:t>
      </w:r>
    </w:p>
    <w:p>
      <w:pPr>
        <w:pStyle w:val="2"/>
        <w:spacing w:before="170" w:line="338" w:lineRule="auto"/>
        <w:ind w:left="103" w:right="260" w:firstLine="640"/>
        <w:jc w:val="both"/>
      </w:pPr>
      <w:r>
        <w:t>（一</w:t>
      </w:r>
      <w:r>
        <w:rPr>
          <w:spacing w:val="-101"/>
        </w:rPr>
        <w:t>）</w:t>
      </w:r>
      <w:r>
        <w:rPr>
          <w:spacing w:val="-17"/>
        </w:rPr>
        <w:t>依法合规。公开的信息必须依法合规，严格遵循法律、</w:t>
      </w:r>
      <w:r>
        <w:rPr>
          <w:spacing w:val="-23"/>
        </w:rPr>
        <w:t>法规和相关规定，依法确定信息公开的内容、方式、范围和程序， 严格保护国家秘密和商业秘密。</w:t>
      </w:r>
    </w:p>
    <w:p>
      <w:pPr>
        <w:pStyle w:val="2"/>
        <w:spacing w:before="6" w:line="338" w:lineRule="auto"/>
        <w:ind w:left="103" w:right="421" w:firstLine="640"/>
      </w:pPr>
      <w:r>
        <w:t>（二</w:t>
      </w:r>
      <w:r>
        <w:rPr>
          <w:spacing w:val="-36"/>
        </w:rPr>
        <w:t>）</w:t>
      </w:r>
      <w:r>
        <w:rPr>
          <w:spacing w:val="-10"/>
        </w:rPr>
        <w:t>真实准确。公开的信息应当真实、准确，不得有虚假记载、误导性陈述或者重大遗漏。</w:t>
      </w:r>
    </w:p>
    <w:p>
      <w:pPr>
        <w:pStyle w:val="2"/>
        <w:spacing w:before="3" w:line="340" w:lineRule="auto"/>
        <w:ind w:left="103" w:right="260" w:firstLine="640"/>
      </w:pPr>
      <w:r>
        <w:t>（三</w:t>
      </w:r>
      <w:r>
        <w:rPr>
          <w:spacing w:val="-151"/>
        </w:rPr>
        <w:t>）</w:t>
      </w:r>
      <w:r>
        <w:rPr>
          <w:spacing w:val="-13"/>
        </w:rPr>
        <w:t>及时公开。应当公开的信息应采取适当方式及时公开， 不得隐瞒、拖延或不公开。</w:t>
      </w:r>
    </w:p>
    <w:p>
      <w:pPr>
        <w:pStyle w:val="2"/>
        <w:spacing w:line="340" w:lineRule="auto"/>
        <w:ind w:left="103" w:right="281" w:firstLine="640"/>
      </w:pPr>
      <w:r>
        <w:t>（四）严格责任。公司相关部门按照“谁形成谁公开， 谁公开谁负责”的原则，对提供的公开信息负责。</w:t>
      </w:r>
    </w:p>
    <w:p>
      <w:pPr>
        <w:pStyle w:val="2"/>
        <w:spacing w:before="7"/>
        <w:rPr>
          <w:sz w:val="44"/>
        </w:rPr>
      </w:pPr>
    </w:p>
    <w:p>
      <w:pPr>
        <w:pStyle w:val="2"/>
        <w:tabs>
          <w:tab w:val="left" w:pos="1281"/>
        </w:tabs>
        <w:ind w:right="317"/>
        <w:jc w:val="center"/>
        <w:rPr>
          <w:rFonts w:ascii="黑体" w:eastAsia="黑体"/>
        </w:rPr>
      </w:pPr>
      <w:r>
        <w:rPr>
          <w:rFonts w:hint="eastAsia" w:ascii="黑体" w:eastAsia="黑体"/>
        </w:rPr>
        <w:t>第三章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信息公开的内容</w:t>
      </w:r>
    </w:p>
    <w:p>
      <w:pPr>
        <w:pStyle w:val="2"/>
        <w:spacing w:before="8"/>
        <w:rPr>
          <w:rFonts w:ascii="黑体"/>
          <w:sz w:val="26"/>
        </w:rPr>
      </w:pPr>
    </w:p>
    <w:p>
      <w:pPr>
        <w:tabs>
          <w:tab w:val="left" w:pos="2049"/>
        </w:tabs>
        <w:ind w:left="748"/>
        <w:rPr>
          <w:sz w:val="32"/>
        </w:rPr>
      </w:pPr>
      <w:r>
        <w:rPr>
          <w:b/>
          <w:sz w:val="32"/>
        </w:rPr>
        <w:t>第五条</w:t>
      </w:r>
      <w:r>
        <w:rPr>
          <w:b/>
          <w:sz w:val="32"/>
        </w:rPr>
        <w:tab/>
      </w:r>
      <w:r>
        <w:rPr>
          <w:sz w:val="32"/>
        </w:rPr>
        <w:t>信息公开的内容</w:t>
      </w:r>
    </w:p>
    <w:p>
      <w:pPr>
        <w:pStyle w:val="2"/>
        <w:spacing w:before="169" w:line="340" w:lineRule="auto"/>
        <w:ind w:left="103" w:right="260" w:firstLine="645"/>
      </w:pPr>
      <w:r>
        <w:t>（一</w:t>
      </w:r>
      <w:r>
        <w:rPr>
          <w:spacing w:val="-77"/>
        </w:rPr>
        <w:t>）</w:t>
      </w:r>
      <w:r>
        <w:rPr>
          <w:spacing w:val="-18"/>
        </w:rPr>
        <w:t>企业信息：主要包括企业简介、组织架构、高管人员、工商注册登记等企业基本信息；</w:t>
      </w:r>
    </w:p>
    <w:p>
      <w:pPr>
        <w:pStyle w:val="2"/>
        <w:spacing w:line="338" w:lineRule="auto"/>
        <w:ind w:left="103" w:right="422" w:firstLine="645"/>
      </w:pPr>
      <w:r>
        <w:t>（二</w:t>
      </w:r>
      <w:r>
        <w:rPr>
          <w:spacing w:val="-48"/>
        </w:rPr>
        <w:t>）</w:t>
      </w:r>
      <w:r>
        <w:rPr>
          <w:spacing w:val="-10"/>
        </w:rPr>
        <w:t>经济信息：主要包括企业年度主要财务经营情况、年</w:t>
      </w:r>
      <w:r>
        <w:t>度国有资本保值增值情况；</w:t>
      </w:r>
    </w:p>
    <w:p>
      <w:pPr>
        <w:pStyle w:val="2"/>
        <w:spacing w:line="340" w:lineRule="auto"/>
        <w:ind w:left="103" w:right="421" w:firstLine="645"/>
      </w:pPr>
      <w:r>
        <w:rPr>
          <w:w w:val="95"/>
        </w:rPr>
        <w:t>（三</w:t>
      </w:r>
      <w:r>
        <w:rPr>
          <w:spacing w:val="-29"/>
          <w:w w:val="95"/>
        </w:rPr>
        <w:t>）</w:t>
      </w:r>
      <w:r>
        <w:rPr>
          <w:spacing w:val="-11"/>
          <w:w w:val="95"/>
        </w:rPr>
        <w:t xml:space="preserve">“三重一大”事项：主要包括重大决策事项、重要干 </w:t>
      </w:r>
      <w:r>
        <w:rPr>
          <w:spacing w:val="-11"/>
        </w:rPr>
        <w:t>部任免、重大项目投资安排及大额资金运作等情况；</w:t>
      </w:r>
    </w:p>
    <w:p>
      <w:pPr>
        <w:pStyle w:val="2"/>
        <w:spacing w:line="405" w:lineRule="exact"/>
        <w:ind w:left="748"/>
      </w:pPr>
      <w:r>
        <w:t>（四）扶贫帮困等企业履行社会责任情况；</w:t>
      </w:r>
    </w:p>
    <w:p>
      <w:pPr>
        <w:pStyle w:val="2"/>
        <w:spacing w:before="171"/>
        <w:ind w:left="748"/>
        <w:rPr>
          <w:sz w:val="23"/>
        </w:rPr>
      </w:pPr>
      <w:r>
        <w:t>（五）企业党建情况；</w:t>
      </w:r>
    </w:p>
    <w:p>
      <w:pPr>
        <w:pStyle w:val="2"/>
        <w:spacing w:before="55" w:line="340" w:lineRule="auto"/>
        <w:ind w:left="103" w:right="422" w:firstLine="645"/>
      </w:pPr>
      <w:r>
        <w:t>（六</w:t>
      </w:r>
      <w:r>
        <w:rPr>
          <w:spacing w:val="-72"/>
        </w:rPr>
        <w:t>）</w:t>
      </w:r>
      <w:r>
        <w:rPr>
          <w:spacing w:val="-5"/>
        </w:rPr>
        <w:t>有关部门依法要求公开的监督检查问题整改情况、重</w:t>
      </w:r>
      <w:r>
        <w:t>大突发事件事态发展和应急处置情况；</w:t>
      </w:r>
    </w:p>
    <w:p>
      <w:pPr>
        <w:pStyle w:val="2"/>
        <w:tabs>
          <w:tab w:val="left" w:pos="1960"/>
        </w:tabs>
        <w:spacing w:line="340" w:lineRule="auto"/>
        <w:ind w:left="748" w:right="1238"/>
      </w:pPr>
      <w:r>
        <w:t>（七）其他依照法律法规规定应当主动公开的信息</w:t>
      </w:r>
      <w:r>
        <w:rPr>
          <w:spacing w:val="-12"/>
        </w:rPr>
        <w:t>。</w:t>
      </w:r>
      <w:r>
        <w:rPr>
          <w:b/>
        </w:rPr>
        <w:t>第六条</w:t>
      </w:r>
      <w:r>
        <w:rPr>
          <w:b/>
        </w:rPr>
        <w:tab/>
      </w:r>
      <w:r>
        <w:t>不予公开的信息</w:t>
      </w:r>
    </w:p>
    <w:p>
      <w:pPr>
        <w:pStyle w:val="2"/>
        <w:spacing w:line="407" w:lineRule="exact"/>
        <w:ind w:left="748"/>
      </w:pPr>
      <w:r>
        <w:t>（一）涉及国家秘密的信息，涉及商业秘密、个人隐私的信</w:t>
      </w:r>
    </w:p>
    <w:p>
      <w:pPr>
        <w:pStyle w:val="2"/>
        <w:spacing w:before="6"/>
        <w:rPr>
          <w:sz w:val="8"/>
        </w:rPr>
      </w:pPr>
    </w:p>
    <w:p>
      <w:pPr>
        <w:pStyle w:val="2"/>
        <w:spacing w:before="54"/>
        <w:ind w:left="103"/>
      </w:pPr>
      <w:r>
        <w:t>息。</w:t>
      </w:r>
    </w:p>
    <w:p>
      <w:pPr>
        <w:pStyle w:val="2"/>
        <w:spacing w:before="171"/>
        <w:ind w:left="748"/>
      </w:pPr>
      <w:r>
        <w:t>（二）公开后可能会影响检查、调查取证、审议等执法活动</w:t>
      </w:r>
    </w:p>
    <w:p>
      <w:pPr>
        <w:pStyle w:val="2"/>
        <w:spacing w:before="1"/>
        <w:rPr>
          <w:sz w:val="9"/>
        </w:rPr>
      </w:pPr>
    </w:p>
    <w:p>
      <w:pPr>
        <w:pStyle w:val="2"/>
        <w:spacing w:before="55"/>
        <w:ind w:left="103"/>
      </w:pPr>
      <w:r>
        <w:rPr>
          <w:w w:val="95"/>
        </w:rPr>
        <w:t>的信息。</w:t>
      </w:r>
    </w:p>
    <w:p>
      <w:pPr>
        <w:pStyle w:val="2"/>
        <w:spacing w:before="168" w:line="340" w:lineRule="auto"/>
        <w:ind w:left="103" w:right="418" w:firstLine="645"/>
        <w:jc w:val="both"/>
      </w:pPr>
      <w:r>
        <w:t>（三</w:t>
      </w:r>
      <w:r>
        <w:rPr>
          <w:spacing w:val="-72"/>
        </w:rPr>
        <w:t>）</w:t>
      </w:r>
      <w:r>
        <w:rPr>
          <w:spacing w:val="-4"/>
        </w:rPr>
        <w:t>公司认定的可能对他人隐私和名誉构成侵害、对</w:t>
      </w:r>
      <w:r>
        <w:rPr>
          <w:spacing w:val="-14"/>
        </w:rPr>
        <w:t>相关人员合法权益造成损害、对企业及社会的正常秩序带来影响的信息。</w:t>
      </w:r>
    </w:p>
    <w:p>
      <w:pPr>
        <w:pStyle w:val="2"/>
        <w:spacing w:line="403" w:lineRule="exact"/>
        <w:ind w:left="748"/>
      </w:pPr>
      <w:r>
        <w:t>（四）其他法律、行政法规规定不予公开的信息。</w:t>
      </w:r>
    </w:p>
    <w:p>
      <w:pPr>
        <w:pStyle w:val="2"/>
        <w:spacing w:before="8"/>
        <w:rPr>
          <w:sz w:val="26"/>
        </w:rPr>
      </w:pPr>
    </w:p>
    <w:p>
      <w:pPr>
        <w:pStyle w:val="2"/>
        <w:ind w:right="317"/>
        <w:jc w:val="center"/>
        <w:rPr>
          <w:rFonts w:ascii="黑体" w:eastAsia="黑体"/>
        </w:rPr>
      </w:pPr>
      <w:r>
        <w:rPr>
          <w:rFonts w:hint="eastAsia" w:ascii="黑体" w:eastAsia="黑体"/>
        </w:rPr>
        <w:t>第四章 公开方式</w:t>
      </w:r>
    </w:p>
    <w:p>
      <w:pPr>
        <w:pStyle w:val="2"/>
        <w:spacing w:before="6"/>
        <w:rPr>
          <w:rFonts w:ascii="黑体"/>
          <w:sz w:val="26"/>
        </w:rPr>
      </w:pPr>
    </w:p>
    <w:p>
      <w:pPr>
        <w:pStyle w:val="2"/>
        <w:tabs>
          <w:tab w:val="left" w:pos="1960"/>
        </w:tabs>
        <w:spacing w:before="1" w:line="338" w:lineRule="auto"/>
        <w:ind w:left="103" w:right="281" w:firstLine="645"/>
      </w:pPr>
      <w:r>
        <w:rPr>
          <w:b/>
        </w:rPr>
        <w:t>第七条</w:t>
      </w:r>
      <w:r>
        <w:rPr>
          <w:rFonts w:hint="eastAsia"/>
          <w:b/>
        </w:rPr>
        <w:t xml:space="preserve">  </w:t>
      </w:r>
      <w:r>
        <w:rPr>
          <w:b/>
        </w:rPr>
        <w:tab/>
      </w:r>
      <w:r>
        <w:t>需</w:t>
      </w:r>
      <w:r>
        <w:rPr>
          <w:rFonts w:hint="eastAsia"/>
        </w:rPr>
        <w:t>依法公开的相关信息，</w:t>
      </w:r>
      <w:r>
        <w:t>采用公司门户网站</w:t>
      </w:r>
      <w:r>
        <w:rPr>
          <w:spacing w:val="-77"/>
        </w:rPr>
        <w:t>、</w:t>
      </w:r>
      <w:r>
        <w:t>微信公众号</w:t>
      </w:r>
      <w:r>
        <w:rPr>
          <w:rFonts w:hint="eastAsia"/>
        </w:rPr>
        <w:t>等</w:t>
      </w:r>
      <w:r>
        <w:t>形式</w:t>
      </w:r>
      <w:r>
        <w:rPr>
          <w:rFonts w:hint="eastAsia"/>
        </w:rPr>
        <w:t>进行</w:t>
      </w:r>
      <w:r>
        <w:t>公开</w:t>
      </w:r>
      <w:r>
        <w:rPr>
          <w:spacing w:val="-70"/>
        </w:rPr>
        <w:t>，</w:t>
      </w:r>
      <w:r>
        <w:t>分别按</w:t>
      </w:r>
      <w:r>
        <w:rPr>
          <w:spacing w:val="-67"/>
        </w:rPr>
        <w:t>照</w:t>
      </w:r>
      <w:r>
        <w:t>公司网站管理</w:t>
      </w:r>
      <w:r>
        <w:rPr>
          <w:rFonts w:hint="eastAsia"/>
        </w:rPr>
        <w:t>要求和</w:t>
      </w:r>
      <w:r>
        <w:t>公司微信公众号管理</w:t>
      </w:r>
      <w:r>
        <w:rPr>
          <w:rFonts w:hint="eastAsia"/>
        </w:rPr>
        <w:t>要求</w:t>
      </w:r>
      <w:r>
        <w:t>执行。</w:t>
      </w:r>
    </w:p>
    <w:p>
      <w:pPr>
        <w:pStyle w:val="2"/>
        <w:tabs>
          <w:tab w:val="left" w:pos="1960"/>
        </w:tabs>
        <w:spacing w:before="1" w:line="338" w:lineRule="auto"/>
        <w:ind w:left="103" w:right="281" w:firstLine="645"/>
      </w:pPr>
    </w:p>
    <w:p>
      <w:pPr>
        <w:pStyle w:val="2"/>
        <w:spacing w:before="55"/>
        <w:ind w:right="317"/>
        <w:jc w:val="center"/>
        <w:rPr>
          <w:rFonts w:ascii="黑体" w:eastAsia="黑体"/>
        </w:rPr>
      </w:pPr>
      <w:r>
        <w:rPr>
          <w:rFonts w:hint="eastAsia" w:ascii="黑体" w:eastAsia="黑体"/>
        </w:rPr>
        <w:t>第五章 审批流程与保密审查</w:t>
      </w:r>
    </w:p>
    <w:p>
      <w:pPr>
        <w:pStyle w:val="2"/>
        <w:spacing w:before="5"/>
        <w:rPr>
          <w:rFonts w:ascii="黑体"/>
          <w:sz w:val="26"/>
        </w:rPr>
      </w:pPr>
    </w:p>
    <w:p>
      <w:pPr>
        <w:pStyle w:val="2"/>
        <w:tabs>
          <w:tab w:val="left" w:pos="1960"/>
        </w:tabs>
        <w:spacing w:before="1" w:line="338" w:lineRule="auto"/>
        <w:ind w:left="103" w:right="281" w:firstLine="645"/>
      </w:pPr>
      <w:r>
        <w:rPr>
          <w:b/>
        </w:rPr>
        <w:t>第</w:t>
      </w:r>
      <w:r>
        <w:rPr>
          <w:rFonts w:hint="eastAsia"/>
          <w:b/>
        </w:rPr>
        <w:t>八</w:t>
      </w:r>
      <w:r>
        <w:rPr>
          <w:b/>
        </w:rPr>
        <w:t>条</w:t>
      </w:r>
      <w:r>
        <w:rPr>
          <w:rFonts w:hint="eastAsia"/>
          <w:b/>
        </w:rPr>
        <w:t xml:space="preserve">  </w:t>
      </w:r>
      <w:r>
        <w:rPr>
          <w:b/>
        </w:rPr>
        <w:tab/>
      </w:r>
      <w:r>
        <w:t>需采用其他形式公开的信息，经相关部门负责人</w:t>
      </w:r>
      <w:r>
        <w:rPr>
          <w:spacing w:val="-11"/>
        </w:rPr>
        <w:t>、</w:t>
      </w:r>
      <w:r>
        <w:t>分管领导审核同意，提交公司主要领导审批后方可公开。</w:t>
      </w:r>
    </w:p>
    <w:p>
      <w:pPr>
        <w:pStyle w:val="2"/>
        <w:spacing w:before="1" w:line="338" w:lineRule="auto"/>
        <w:ind w:left="103" w:right="418" w:firstLine="645"/>
        <w:jc w:val="both"/>
      </w:pPr>
      <w:r>
        <w:rPr>
          <w:b/>
          <w:spacing w:val="19"/>
        </w:rPr>
        <w:t xml:space="preserve">第九条 </w:t>
      </w:r>
      <w:r>
        <w:rPr>
          <w:rFonts w:hint="eastAsia"/>
          <w:spacing w:val="19"/>
        </w:rPr>
        <w:t>各类</w:t>
      </w:r>
      <w:r>
        <w:rPr>
          <w:spacing w:val="-7"/>
        </w:rPr>
        <w:t>信息</w:t>
      </w:r>
      <w:r>
        <w:rPr>
          <w:rFonts w:hint="eastAsia"/>
          <w:spacing w:val="-7"/>
        </w:rPr>
        <w:t>在公开前</w:t>
      </w:r>
      <w:r>
        <w:rPr>
          <w:spacing w:val="-7"/>
        </w:rPr>
        <w:t>，应当依照中华人民共和</w:t>
      </w:r>
      <w:r>
        <w:rPr>
          <w:spacing w:val="-15"/>
        </w:rPr>
        <w:t>国</w:t>
      </w:r>
      <w:r>
        <w:rPr>
          <w:rFonts w:hint="eastAsia"/>
          <w:spacing w:val="-15"/>
        </w:rPr>
        <w:t>相关</w:t>
      </w:r>
      <w:r>
        <w:rPr>
          <w:spacing w:val="-15"/>
        </w:rPr>
        <w:t>法律、法规的规定，</w:t>
      </w:r>
      <w:r>
        <w:rPr>
          <w:rFonts w:hint="eastAsia"/>
          <w:spacing w:val="-15"/>
        </w:rPr>
        <w:t>部门应</w:t>
      </w:r>
      <w:r>
        <w:rPr>
          <w:spacing w:val="-15"/>
        </w:rPr>
        <w:t>对拟公开信息</w:t>
      </w:r>
      <w:r>
        <w:rPr>
          <w:spacing w:val="-17"/>
        </w:rPr>
        <w:t>进行</w:t>
      </w:r>
      <w:r>
        <w:rPr>
          <w:rFonts w:hint="eastAsia"/>
          <w:spacing w:val="-17"/>
        </w:rPr>
        <w:t>严格</w:t>
      </w:r>
      <w:r>
        <w:rPr>
          <w:spacing w:val="-17"/>
        </w:rPr>
        <w:t>审查，</w:t>
      </w:r>
      <w:r>
        <w:rPr>
          <w:rFonts w:hint="eastAsia"/>
          <w:spacing w:val="-17"/>
        </w:rPr>
        <w:t>严禁随意公开</w:t>
      </w:r>
      <w:r>
        <w:rPr>
          <w:spacing w:val="-17"/>
        </w:rPr>
        <w:t>。</w:t>
      </w:r>
    </w:p>
    <w:p>
      <w:pPr>
        <w:pStyle w:val="2"/>
        <w:spacing w:before="8" w:line="338" w:lineRule="auto"/>
        <w:ind w:left="103" w:right="418" w:firstLine="645"/>
        <w:jc w:val="both"/>
        <w:rPr>
          <w:szCs w:val="22"/>
        </w:rPr>
      </w:pPr>
      <w:r>
        <w:rPr>
          <w:b/>
          <w:spacing w:val="43"/>
        </w:rPr>
        <w:t xml:space="preserve">第十条 </w:t>
      </w:r>
      <w:r>
        <w:rPr>
          <w:szCs w:val="22"/>
        </w:rPr>
        <w:t>公司</w:t>
      </w:r>
      <w:r>
        <w:rPr>
          <w:rFonts w:hint="eastAsia"/>
          <w:szCs w:val="22"/>
        </w:rPr>
        <w:t>总经理工作部、党群工作部</w:t>
      </w:r>
      <w:r>
        <w:rPr>
          <w:szCs w:val="22"/>
        </w:rPr>
        <w:t>负责指导各部门对拟公开信息进行保密审查，督促检查信息公开工作中的保密责任落实情况。</w:t>
      </w:r>
    </w:p>
    <w:p>
      <w:pPr>
        <w:pStyle w:val="2"/>
        <w:spacing w:before="10"/>
        <w:rPr>
          <w:sz w:val="45"/>
        </w:rPr>
      </w:pPr>
    </w:p>
    <w:p>
      <w:pPr>
        <w:pStyle w:val="2"/>
        <w:tabs>
          <w:tab w:val="left" w:pos="1279"/>
          <w:tab w:val="left" w:pos="1919"/>
        </w:tabs>
        <w:ind w:right="317"/>
        <w:jc w:val="center"/>
        <w:rPr>
          <w:rFonts w:ascii="黑体" w:eastAsia="黑体"/>
        </w:rPr>
      </w:pPr>
      <w:r>
        <w:rPr>
          <w:rFonts w:hint="eastAsia" w:ascii="黑体" w:eastAsia="黑体"/>
        </w:rPr>
        <w:t>第六章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附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则</w:t>
      </w:r>
    </w:p>
    <w:p>
      <w:pPr>
        <w:pStyle w:val="2"/>
        <w:spacing w:before="8"/>
        <w:rPr>
          <w:rFonts w:ascii="黑体"/>
          <w:sz w:val="23"/>
        </w:rPr>
      </w:pPr>
    </w:p>
    <w:p>
      <w:pPr>
        <w:pStyle w:val="2"/>
        <w:spacing w:before="1" w:line="364" w:lineRule="auto"/>
        <w:ind w:left="103" w:right="435" w:firstLine="640"/>
        <w:jc w:val="both"/>
      </w:pPr>
      <w:r>
        <w:rPr>
          <w:b/>
        </w:rPr>
        <w:t xml:space="preserve">第十一条 </w:t>
      </w:r>
      <w:r>
        <w:t>本办法由</w:t>
      </w:r>
      <w:r>
        <w:rPr>
          <w:rFonts w:hint="eastAsia"/>
        </w:rPr>
        <w:t>总经理工作部</w:t>
      </w:r>
      <w:r>
        <w:t>负责解释，公司全资、控股子公司参照执行。</w:t>
      </w:r>
    </w:p>
    <w:p>
      <w:pPr>
        <w:spacing w:before="37"/>
        <w:ind w:left="748"/>
        <w:rPr>
          <w:sz w:val="32"/>
        </w:rPr>
      </w:pPr>
      <w:r>
        <w:rPr>
          <w:b/>
          <w:sz w:val="32"/>
        </w:rPr>
        <w:t xml:space="preserve">第十二条 </w:t>
      </w:r>
      <w:r>
        <w:rPr>
          <w:sz w:val="32"/>
        </w:rPr>
        <w:t>本办法自</w:t>
      </w:r>
      <w:r>
        <w:rPr>
          <w:rFonts w:hint="eastAsia"/>
          <w:sz w:val="32"/>
        </w:rPr>
        <w:t>发布</w:t>
      </w:r>
      <w:r>
        <w:rPr>
          <w:sz w:val="32"/>
        </w:rPr>
        <w:t>之日起施行。</w:t>
      </w:r>
    </w:p>
    <w:sectPr>
      <w:footerReference r:id="rId3" w:type="default"/>
      <w:pgSz w:w="11910" w:h="16840"/>
      <w:pgMar w:top="1580" w:right="1360" w:bottom="1520" w:left="1200" w:header="0" w:footer="132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3454400</wp:posOffset>
              </wp:positionH>
              <wp:positionV relativeFrom="page">
                <wp:posOffset>9712960</wp:posOffset>
              </wp:positionV>
              <wp:extent cx="471805" cy="20383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80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321" w:lineRule="exact"/>
                            <w:ind w:left="20"/>
                            <w:rPr>
                              <w:rFonts w:ascii="宋体"/>
                              <w:sz w:val="28"/>
                            </w:rPr>
                          </w:pPr>
                          <w:r>
                            <w:rPr>
                              <w:rFonts w:ascii="宋体"/>
                              <w:sz w:val="28"/>
                            </w:rP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宋体"/>
                              <w:sz w:val="28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/>
                              <w:sz w:val="28"/>
                            </w:rPr>
                            <w:t xml:space="preserve"> -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72pt;margin-top:764.8pt;height:16.05pt;width:37.15pt;mso-position-horizontal-relative:page;mso-position-vertical-relative:page;z-index:-251657216;mso-width-relative:page;mso-height-relative:page;" filled="f" stroked="f" coordsize="21600,21600" o:gfxdata="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hH+cmdsAAAANAQAADwAAAAAA&#10;AAABACAAAAAiAAAAZHJzL2Rvd25yZXYueG1sUEsBAhQAFAAAAAgAh07iQBzo/qyeAQAAIwMAAA4A&#10;AAAAAAAAAQAgAAAAKgEAAGRycy9lMm9Eb2MueG1sUEsFBgAAAAAGAAYAWQEAADo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321" w:lineRule="exact"/>
                      <w:ind w:left="20"/>
                      <w:rPr>
                        <w:rFonts w:ascii="宋体"/>
                        <w:sz w:val="28"/>
                      </w:rPr>
                    </w:pPr>
                    <w:r>
                      <w:rPr>
                        <w:rFonts w:ascii="宋体"/>
                        <w:sz w:val="28"/>
                      </w:rPr>
                      <w:t xml:space="preserve">- </w:t>
                    </w:r>
                    <w:r>
                      <w:fldChar w:fldCharType="begin"/>
                    </w:r>
                    <w:r>
                      <w:rPr>
                        <w:rFonts w:ascii="宋体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宋体"/>
                        <w:sz w:val="28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宋体"/>
                        <w:sz w:val="28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03D"/>
    <w:rsid w:val="001A51E9"/>
    <w:rsid w:val="001C0A90"/>
    <w:rsid w:val="005F103D"/>
    <w:rsid w:val="00697BB5"/>
    <w:rsid w:val="00771AB4"/>
    <w:rsid w:val="00961F42"/>
    <w:rsid w:val="009D0AEE"/>
    <w:rsid w:val="00A84A85"/>
    <w:rsid w:val="00CB1CB3"/>
    <w:rsid w:val="00FA65F0"/>
    <w:rsid w:val="5CA71DA5"/>
    <w:rsid w:val="7389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  <w:style w:type="paragraph" w:styleId="3">
    <w:name w:val="Plain Text"/>
    <w:basedOn w:val="1"/>
    <w:link w:val="13"/>
    <w:unhideWhenUsed/>
    <w:qFormat/>
    <w:uiPriority w:val="99"/>
    <w:pPr>
      <w:autoSpaceDE/>
      <w:autoSpaceDN/>
      <w:jc w:val="both"/>
    </w:pPr>
    <w:rPr>
      <w:rFonts w:ascii="宋体" w:hAnsi="Courier New" w:eastAsia="宋体" w:cs="Times New Roman"/>
      <w:kern w:val="2"/>
      <w:sz w:val="21"/>
      <w:szCs w:val="20"/>
      <w:lang w:val="en-US" w:bidi="ar-SA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Char"/>
    <w:basedOn w:val="6"/>
    <w:link w:val="5"/>
    <w:semiHidden/>
    <w:qFormat/>
    <w:uiPriority w:val="99"/>
    <w:rPr>
      <w:rFonts w:ascii="仿宋" w:hAnsi="仿宋" w:eastAsia="仿宋" w:cs="仿宋"/>
      <w:sz w:val="18"/>
      <w:szCs w:val="18"/>
      <w:lang w:val="zh-CN" w:eastAsia="zh-CN" w:bidi="zh-CN"/>
    </w:rPr>
  </w:style>
  <w:style w:type="character" w:customStyle="1" w:styleId="12">
    <w:name w:val="页脚 Char"/>
    <w:basedOn w:val="6"/>
    <w:link w:val="4"/>
    <w:semiHidden/>
    <w:qFormat/>
    <w:uiPriority w:val="99"/>
    <w:rPr>
      <w:rFonts w:ascii="仿宋" w:hAnsi="仿宋" w:eastAsia="仿宋" w:cs="仿宋"/>
      <w:sz w:val="18"/>
      <w:szCs w:val="18"/>
      <w:lang w:val="zh-CN" w:eastAsia="zh-CN" w:bidi="zh-CN"/>
    </w:rPr>
  </w:style>
  <w:style w:type="character" w:customStyle="1" w:styleId="13">
    <w:name w:val="纯文本 Char"/>
    <w:basedOn w:val="6"/>
    <w:link w:val="3"/>
    <w:qFormat/>
    <w:uiPriority w:val="99"/>
    <w:rPr>
      <w:rFonts w:ascii="宋体" w:hAnsi="Courier New" w:eastAsia="宋体" w:cs="Times New Roman"/>
      <w:kern w:val="2"/>
      <w:sz w:val="21"/>
      <w:szCs w:val="20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1140</Words>
  <Characters>1140</Characters>
  <Lines>8</Lines>
  <Paragraphs>2</Paragraphs>
  <TotalTime>0</TotalTime>
  <ScaleCrop>false</ScaleCrop>
  <LinksUpToDate>false</LinksUpToDate>
  <CharactersWithSpaces>1168</CharactersWithSpaces>
  <Application>WPS Office_10.8.2.6986_F1E327BC-269C-435d-A152-05C5408002CA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2022-08-25T05:37:00Z</dcterms:created>
  <dc:creator>USER-</dc:creator>
  <cp:lastModifiedBy>陈小晨 </cp:lastModifiedBy>
  <dcterms:modified xsi:type="dcterms:W3CDTF">2022-10-28T01:08:55Z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2022-08-25T00:00:00Z</vt:filetime>
  </property>
  <property fmtid="{D5CDD505-2E9C-101B-9397-08002B2CF9AE}" pid="5" name="KSOProductBuildVer">
    <vt:lpwstr>2052-10.8.2.6986</vt:lpwstr>
  </property>
  <property fmtid="{D5CDD505-2E9C-101B-9397-08002B2CF9AE}" pid="6" name="ICV">
    <vt:lpwstr>430B118F9F414D978E7C9A7E96759A20</vt:lpwstr>
  </property>
</Properties>
</file>